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62" w:rsidRPr="008F2659" w:rsidRDefault="007A6562" w:rsidP="008D355F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bidi/>
        <w:ind w:left="851" w:right="169" w:hanging="141"/>
        <w:jc w:val="center"/>
        <w:rPr>
          <w:rFonts w:asciiTheme="minorHAnsi" w:hAnsiTheme="minorHAnsi" w:cstheme="majorBidi"/>
          <w:b/>
          <w:bCs/>
          <w:sz w:val="32"/>
          <w:szCs w:val="32"/>
          <w:rtl/>
        </w:rPr>
      </w:pPr>
      <w:bookmarkStart w:id="0" w:name="_Toc108426808"/>
      <w:r>
        <w:rPr>
          <w:rFonts w:asciiTheme="minorHAnsi" w:hAnsiTheme="minorHAnsi" w:hint="cs"/>
          <w:b/>
          <w:bCs/>
          <w:sz w:val="32"/>
          <w:szCs w:val="32"/>
          <w:rtl/>
        </w:rPr>
        <w:t>الصندوق المغربي للتقاعد (</w:t>
      </w:r>
      <w:r>
        <w:rPr>
          <w:rFonts w:asciiTheme="minorHAnsi" w:hAnsiTheme="minorHAnsi"/>
          <w:b/>
          <w:bCs/>
          <w:sz w:val="32"/>
          <w:szCs w:val="32"/>
        </w:rPr>
        <w:t>CMR</w:t>
      </w:r>
      <w:r>
        <w:rPr>
          <w:rFonts w:asciiTheme="minorHAnsi" w:hAnsiTheme="minorHAnsi" w:hint="cs"/>
          <w:b/>
          <w:bCs/>
          <w:sz w:val="32"/>
          <w:szCs w:val="32"/>
          <w:rtl/>
        </w:rPr>
        <w:t>)</w:t>
      </w:r>
      <w:bookmarkEnd w:id="0"/>
    </w:p>
    <w:p w:rsidR="005F51F5" w:rsidRPr="008F2659" w:rsidRDefault="005F51F5" w:rsidP="007102FB">
      <w:pPr>
        <w:jc w:val="center"/>
        <w:rPr>
          <w:rFonts w:asciiTheme="minorHAnsi" w:hAnsiTheme="minorHAnsi"/>
          <w:b/>
          <w:sz w:val="24"/>
          <w:szCs w:val="24"/>
        </w:rPr>
      </w:pPr>
    </w:p>
    <w:p w:rsidR="007102FB" w:rsidRPr="008F2659" w:rsidRDefault="007102FB" w:rsidP="007102FB">
      <w:pPr>
        <w:bidi/>
        <w:jc w:val="center"/>
        <w:rPr>
          <w:rFonts w:asciiTheme="minorHAnsi" w:hAnsiTheme="minorHAnsi"/>
          <w:b/>
          <w:sz w:val="24"/>
          <w:szCs w:val="24"/>
          <w:rtl/>
        </w:rPr>
      </w:pPr>
      <w:r>
        <w:rPr>
          <w:rFonts w:asciiTheme="minorHAnsi" w:hAnsiTheme="minorHAnsi" w:hint="cs"/>
          <w:b/>
          <w:sz w:val="24"/>
          <w:szCs w:val="24"/>
          <w:rtl/>
        </w:rPr>
        <w:t xml:space="preserve"> </w:t>
      </w:r>
    </w:p>
    <w:p w:rsidR="00EC2C22" w:rsidRPr="008F2659" w:rsidRDefault="00EC2C22" w:rsidP="00085059">
      <w:pPr>
        <w:autoSpaceDE w:val="0"/>
        <w:autoSpaceDN w:val="0"/>
        <w:adjustRightInd w:val="0"/>
        <w:jc w:val="both"/>
        <w:rPr>
          <w:rFonts w:asciiTheme="minorHAnsi" w:hAnsiTheme="minorHAnsi"/>
          <w:sz w:val="26"/>
          <w:szCs w:val="26"/>
        </w:rPr>
      </w:pPr>
    </w:p>
    <w:p w:rsidR="0004567D" w:rsidRPr="008F2659" w:rsidRDefault="0004567D" w:rsidP="00EC2C22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r>
        <w:rPr>
          <w:rFonts w:asciiTheme="minorHAnsi" w:hAnsiTheme="minorHAnsi" w:hint="cs"/>
          <w:b/>
          <w:bCs/>
          <w:sz w:val="26"/>
          <w:szCs w:val="26"/>
          <w:rtl/>
        </w:rPr>
        <w:t xml:space="preserve">التأسيس </w:t>
      </w:r>
    </w:p>
    <w:p w:rsidR="00535BA0" w:rsidRPr="008F2659" w:rsidRDefault="00591948" w:rsidP="00535BA0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الصندوق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المغربي للتقاعد هو مؤسسة عمومية تتمتع بالشخصية الاعتبارية وال</w:t>
      </w:r>
      <w:r w:rsidR="00EF7998">
        <w:rPr>
          <w:rFonts w:asciiTheme="minorHAnsi" w:hAnsiTheme="minorHAnsi" w:hint="cs"/>
          <w:sz w:val="24"/>
          <w:szCs w:val="24"/>
          <w:rtl/>
        </w:rPr>
        <w:t>استقلال المالي وقد أنشأه ظهير 1</w:t>
      </w:r>
      <w:r>
        <w:rPr>
          <w:rFonts w:asciiTheme="minorHAnsi" w:hAnsiTheme="minorHAnsi" w:hint="cs"/>
          <w:sz w:val="24"/>
          <w:szCs w:val="24"/>
          <w:rtl/>
        </w:rPr>
        <w:t xml:space="preserve"> شوال 1348 (2 مارس 1930) وينظمه القانون رقم 43-95 من 7 غشت 1996.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على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هذا النحو، فإنه يخضع للرقابة المالية للدولة.</w:t>
      </w:r>
    </w:p>
    <w:p w:rsidR="00535BA0" w:rsidRPr="008F2659" w:rsidRDefault="00535BA0" w:rsidP="00535BA0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591948" w:rsidRPr="008F2659" w:rsidRDefault="00535BA0" w:rsidP="00535BA0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يتم تنفيذ الرقابة الفنية والاحترازية على خطط المعاشات التقاعدية التي يديرها الصندوق المغربي للتقاعد من قبل هيئة مراقبة التأمينات والاحتياط الاجتماعي.</w:t>
      </w:r>
    </w:p>
    <w:p w:rsidR="00EC2C22" w:rsidRPr="008F2659" w:rsidRDefault="00EC2C22" w:rsidP="00535BA0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EC2C22" w:rsidRPr="008F2659" w:rsidRDefault="00EC2C22" w:rsidP="00EC2C22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r>
        <w:rPr>
          <w:rFonts w:asciiTheme="minorHAnsi" w:hAnsiTheme="minorHAnsi" w:hint="cs"/>
          <w:b/>
          <w:bCs/>
          <w:sz w:val="26"/>
          <w:szCs w:val="26"/>
          <w:rtl/>
        </w:rPr>
        <w:t>الإدارة</w:t>
      </w:r>
    </w:p>
    <w:p w:rsidR="00EC2C22" w:rsidRPr="008F2659" w:rsidRDefault="00EC2C22" w:rsidP="00EC2C22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يدير مجلس الإدارة الصندوق المغربي للتقاعد الذي يمكنه اتخاذ قرار بشأن إنشاء أي لجنة يحدد تكوينها ومهمتها وإجراءات عملها. وهكذا تم تشكيل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ثلاث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لجان:</w:t>
      </w:r>
    </w:p>
    <w:p w:rsidR="00EC2C22" w:rsidRPr="008F2659" w:rsidRDefault="00EC2C22" w:rsidP="00EC2C22">
      <w:pPr>
        <w:tabs>
          <w:tab w:val="left" w:pos="426"/>
        </w:tabs>
        <w:ind w:left="567" w:right="-285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C2C22" w:rsidRPr="008F2659" w:rsidRDefault="00EC2C22" w:rsidP="00EC2C22">
      <w:pPr>
        <w:numPr>
          <w:ilvl w:val="0"/>
          <w:numId w:val="42"/>
        </w:numPr>
        <w:tabs>
          <w:tab w:val="left" w:pos="426"/>
        </w:tabs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لجنة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دائمة</w:t>
      </w:r>
    </w:p>
    <w:p w:rsidR="00EC2C22" w:rsidRPr="008F2659" w:rsidRDefault="00EC2C22" w:rsidP="00EC2C22">
      <w:pPr>
        <w:numPr>
          <w:ilvl w:val="0"/>
          <w:numId w:val="42"/>
        </w:numPr>
        <w:tabs>
          <w:tab w:val="left" w:pos="426"/>
        </w:tabs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لجنة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المراجعة</w:t>
      </w:r>
    </w:p>
    <w:p w:rsidR="00181979" w:rsidRPr="008F2659" w:rsidRDefault="00EC2C22" w:rsidP="00EC2C22">
      <w:pPr>
        <w:pStyle w:val="Prrafodelista"/>
        <w:numPr>
          <w:ilvl w:val="0"/>
          <w:numId w:val="42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لجنة التخصيص الاستراتيجي.</w:t>
      </w:r>
    </w:p>
    <w:p w:rsidR="00EC2C22" w:rsidRPr="008F2659" w:rsidRDefault="00EC2C22" w:rsidP="00EC2C22">
      <w:pPr>
        <w:ind w:right="-285"/>
        <w:jc w:val="both"/>
        <w:rPr>
          <w:rFonts w:asciiTheme="minorHAnsi" w:hAnsiTheme="minorHAnsi"/>
          <w:sz w:val="22"/>
          <w:szCs w:val="22"/>
        </w:rPr>
      </w:pPr>
    </w:p>
    <w:p w:rsidR="00591948" w:rsidRPr="008F2659" w:rsidRDefault="00EC2C22" w:rsidP="008F2659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proofErr w:type="gramStart"/>
      <w:r>
        <w:rPr>
          <w:rFonts w:asciiTheme="minorHAnsi" w:hAnsiTheme="minorHAnsi" w:hint="cs"/>
          <w:b/>
          <w:bCs/>
          <w:sz w:val="26"/>
          <w:szCs w:val="26"/>
          <w:rtl/>
        </w:rPr>
        <w:t>مجال</w:t>
      </w:r>
      <w:proofErr w:type="gramEnd"/>
      <w:r>
        <w:rPr>
          <w:rFonts w:asciiTheme="minorHAnsi" w:hAnsiTheme="minorHAnsi" w:hint="cs"/>
          <w:b/>
          <w:bCs/>
          <w:sz w:val="26"/>
          <w:szCs w:val="26"/>
          <w:rtl/>
        </w:rPr>
        <w:t xml:space="preserve"> التطبيق</w:t>
      </w:r>
    </w:p>
    <w:p w:rsidR="007102FB" w:rsidRPr="008F2659" w:rsidRDefault="007102FB" w:rsidP="00535BA0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يدير الصندوق المغربي للتقاعد نظامين أساسيين للتقاعد الإلزامي: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7102FB" w:rsidP="00023A56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نظام المعاشات المدنية الصادر بالقانون عدد 71-011 المؤرخ في 30 </w:t>
      </w:r>
      <w:r w:rsidR="00023A56">
        <w:rPr>
          <w:rFonts w:asciiTheme="minorHAnsi" w:hAnsiTheme="minorHAnsi" w:hint="cs"/>
          <w:sz w:val="24"/>
          <w:szCs w:val="24"/>
          <w:rtl/>
        </w:rPr>
        <w:t>دجنبر</w:t>
      </w:r>
      <w:r>
        <w:rPr>
          <w:rFonts w:asciiTheme="minorHAnsi" w:hAnsiTheme="minorHAnsi" w:hint="cs"/>
          <w:sz w:val="24"/>
          <w:szCs w:val="24"/>
          <w:rtl/>
        </w:rPr>
        <w:t xml:space="preserve"> 1971 والذي يشمل موظفي الدولة المدنيين وفاعلي المجتمعات المحلية والعاملين في بعض المؤسسات العمومية؛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E65A9A" w:rsidP="00023A56">
      <w:pPr>
        <w:numPr>
          <w:ilvl w:val="0"/>
          <w:numId w:val="41"/>
        </w:numPr>
        <w:tabs>
          <w:tab w:val="num" w:pos="851"/>
        </w:tabs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 نظام المعاشات العسكرية الصادر بالقانون عدد 013-71 المؤرخ في 30 </w:t>
      </w:r>
      <w:r w:rsidR="00023A56">
        <w:rPr>
          <w:rFonts w:asciiTheme="minorHAnsi" w:hAnsiTheme="minorHAnsi" w:hint="cs"/>
          <w:sz w:val="24"/>
          <w:szCs w:val="24"/>
          <w:rtl/>
        </w:rPr>
        <w:t>دجنبر</w:t>
      </w:r>
      <w:bookmarkStart w:id="1" w:name="_GoBack"/>
      <w:bookmarkEnd w:id="1"/>
      <w:r>
        <w:rPr>
          <w:rFonts w:asciiTheme="minorHAnsi" w:hAnsiTheme="minorHAnsi" w:hint="cs"/>
          <w:sz w:val="24"/>
          <w:szCs w:val="24"/>
          <w:rtl/>
        </w:rPr>
        <w:t xml:space="preserve"> 1971، والمخصص لأفراد القوات المسلحة الملكية والقوات المساعدة والدرك الملكي.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C86239" w:rsidRPr="008F2659" w:rsidRDefault="00535BA0" w:rsidP="00EC2C22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كما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أنه يدير نظام تقاعد تكميلي اختياري "التكميلي" ويضمن الإدارة نيابة عن الأنظمة الأخرى غير القائمة على المساهمات.</w:t>
      </w:r>
    </w:p>
    <w:p w:rsidR="008E056D" w:rsidRPr="008F2659" w:rsidRDefault="008E056D" w:rsidP="00085059">
      <w:pPr>
        <w:ind w:right="-285"/>
        <w:jc w:val="both"/>
        <w:rPr>
          <w:rFonts w:asciiTheme="minorHAnsi" w:hAnsiTheme="minorHAnsi"/>
          <w:sz w:val="26"/>
          <w:szCs w:val="26"/>
        </w:rPr>
      </w:pPr>
    </w:p>
    <w:p w:rsidR="00EC2C22" w:rsidRPr="008F2659" w:rsidRDefault="00EC2C22" w:rsidP="008F2659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proofErr w:type="gramStart"/>
      <w:r>
        <w:rPr>
          <w:rFonts w:asciiTheme="minorHAnsi" w:hAnsiTheme="minorHAnsi" w:hint="cs"/>
          <w:b/>
          <w:bCs/>
          <w:sz w:val="26"/>
          <w:szCs w:val="26"/>
          <w:rtl/>
        </w:rPr>
        <w:t>طريقة</w:t>
      </w:r>
      <w:proofErr w:type="gramEnd"/>
      <w:r>
        <w:rPr>
          <w:rFonts w:asciiTheme="minorHAnsi" w:hAnsiTheme="minorHAnsi" w:hint="cs"/>
          <w:b/>
          <w:bCs/>
          <w:sz w:val="26"/>
          <w:szCs w:val="26"/>
          <w:rtl/>
        </w:rPr>
        <w:t xml:space="preserve"> العمل </w:t>
      </w:r>
    </w:p>
    <w:p w:rsidR="00EC2C22" w:rsidRPr="008F2659" w:rsidRDefault="00EC2C22" w:rsidP="00EC2C22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تمنح الأنظمة الأساسية الإجبارية التي يديرها الصندوق المغربي للتقاعد مزايا محددة ويتم تمويلها وفقًا لتقنية التوزيع المريح بناءً على مبدأ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قسط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التأمين المتدرج.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ثم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يتم تحديد نسبة المساهمة لضمان توازن النظام لمدة لا تقل عن 10 سنوات.</w:t>
      </w:r>
    </w:p>
    <w:p w:rsidR="00EC2C22" w:rsidRPr="008F2659" w:rsidRDefault="00EC2C22" w:rsidP="0008505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7102FB" w:rsidRPr="008F2659" w:rsidRDefault="0079635E" w:rsidP="00EC2C22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proofErr w:type="gramStart"/>
      <w:r>
        <w:rPr>
          <w:rFonts w:asciiTheme="minorHAnsi" w:hAnsiTheme="minorHAnsi" w:hint="cs"/>
          <w:b/>
          <w:bCs/>
          <w:sz w:val="26"/>
          <w:szCs w:val="26"/>
          <w:rtl/>
        </w:rPr>
        <w:t>معاشات</w:t>
      </w:r>
      <w:proofErr w:type="gramEnd"/>
      <w:r>
        <w:rPr>
          <w:rFonts w:asciiTheme="minorHAnsi" w:hAnsiTheme="minorHAnsi" w:hint="cs"/>
          <w:b/>
          <w:bCs/>
          <w:sz w:val="26"/>
          <w:szCs w:val="26"/>
          <w:rtl/>
        </w:rPr>
        <w:t xml:space="preserve"> مضمونة </w:t>
      </w:r>
    </w:p>
    <w:p w:rsidR="007102FB" w:rsidRPr="008F2659" w:rsidRDefault="00EC2C22" w:rsidP="008F2659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يضمن هذا الصندوق للمنخرطين المزايا التالية: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8F2659" w:rsidP="00EC2C22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معاش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الشيخوخة</w:t>
      </w:r>
    </w:p>
    <w:p w:rsidR="007102FB" w:rsidRPr="008F2659" w:rsidRDefault="008F2659" w:rsidP="00EC2C22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معاش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العجز</w:t>
      </w:r>
    </w:p>
    <w:p w:rsidR="007102FB" w:rsidRPr="008F2659" w:rsidRDefault="008F2659" w:rsidP="00EC2C22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معاش الورثة (الأرامل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والأيتام</w:t>
      </w:r>
      <w:proofErr w:type="gramEnd"/>
      <w:r>
        <w:rPr>
          <w:rFonts w:asciiTheme="minorHAnsi" w:hAnsiTheme="minorHAnsi" w:hint="cs"/>
          <w:sz w:val="24"/>
          <w:szCs w:val="24"/>
          <w:rtl/>
        </w:rPr>
        <w:t>)</w:t>
      </w:r>
    </w:p>
    <w:p w:rsidR="007102FB" w:rsidRPr="008F2659" w:rsidRDefault="008F2659" w:rsidP="00EC2C22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التعويضات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العائلية</w:t>
      </w:r>
    </w:p>
    <w:p w:rsidR="00680054" w:rsidRPr="008F2659" w:rsidRDefault="008F2659" w:rsidP="00EC2C22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استرداد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المساهمات.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C86239" w:rsidP="00EC2C22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r>
        <w:rPr>
          <w:rFonts w:asciiTheme="minorHAnsi" w:hAnsiTheme="minorHAnsi" w:hint="cs"/>
          <w:b/>
          <w:bCs/>
          <w:sz w:val="26"/>
          <w:szCs w:val="26"/>
          <w:rtl/>
        </w:rPr>
        <w:t>الموارد </w:t>
      </w:r>
    </w:p>
    <w:p w:rsidR="007102FB" w:rsidRPr="008F2659" w:rsidRDefault="007102FB" w:rsidP="00085059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lastRenderedPageBreak/>
        <w:t xml:space="preserve">تأتي موارد الصندوق المغربي للتقاعد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بشكل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أساسي من: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3A7727" w:rsidP="00C75D29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مساهمات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الموظفين والوكلاء المنخرطين</w:t>
      </w:r>
    </w:p>
    <w:p w:rsidR="007102FB" w:rsidRPr="008F2659" w:rsidRDefault="003A7727" w:rsidP="00C75D29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مساهمات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الدولة والمجتمعات المحلية والمؤسسات العامة المشتركة</w:t>
      </w:r>
    </w:p>
    <w:p w:rsidR="007102FB" w:rsidRDefault="003A7727" w:rsidP="008C0387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إيرادات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الاستثمار والدخل الناتج من استغلال أصول الصندوق.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7102FB" w:rsidP="008F2659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تمثل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اقتطاعات معاش المنخرطين ومساهمات أرباب العمل (الدولة والجمعيات المحلية وبعض المؤسسات العامة) الجزء الأكبر من موارد الصندوق.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8C0387" w:rsidRDefault="00C75D29" w:rsidP="008A023D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نسبة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المساهمة في نظام المعاشات المدنية محدد حاليًا بنسبة 28% من الرواتب الأساسية كما هو محدد في القانون رقم 71-011 المنشئ لهذا النظام. يتحملها بالتساوي رب العمل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والمنخرط</w:t>
      </w:r>
      <w:proofErr w:type="gramEnd"/>
      <w:r>
        <w:rPr>
          <w:rFonts w:asciiTheme="minorHAnsi" w:hAnsiTheme="minorHAnsi" w:hint="cs"/>
          <w:sz w:val="24"/>
          <w:szCs w:val="24"/>
          <w:rtl/>
        </w:rPr>
        <w:t>.</w:t>
      </w:r>
    </w:p>
    <w:p w:rsidR="008C0387" w:rsidRDefault="008C0387" w:rsidP="008C0387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4E11F4" w:rsidRDefault="007102FB" w:rsidP="008C0387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بالنسبة لنظام المعاشات العسكرية، هذه النسبة هي 30%، يتحملها المنخرط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ورب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العمل بمعدل 1/3 - 2/3 على التوالي.</w:t>
      </w:r>
    </w:p>
    <w:p w:rsidR="00C75D29" w:rsidRDefault="00C75D29" w:rsidP="008C0387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082CEF" w:rsidRPr="008F2659" w:rsidRDefault="00082CEF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082CEF" w:rsidRPr="008F2659" w:rsidRDefault="00C86239" w:rsidP="00EC2C22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r>
        <w:rPr>
          <w:rFonts w:asciiTheme="minorHAnsi" w:hAnsiTheme="minorHAnsi" w:hint="cs"/>
          <w:b/>
          <w:bCs/>
          <w:sz w:val="26"/>
          <w:szCs w:val="26"/>
          <w:rtl/>
        </w:rPr>
        <w:t xml:space="preserve">النفقات </w:t>
      </w:r>
    </w:p>
    <w:p w:rsidR="00F43E5C" w:rsidRPr="008F2659" w:rsidRDefault="00F43E5C" w:rsidP="00085059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تشمل نفقات الصندوق المغربي للتقاعد:</w:t>
      </w:r>
    </w:p>
    <w:p w:rsidR="0000135D" w:rsidRPr="008F2659" w:rsidRDefault="0000135D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F43E5C" w:rsidRPr="008F2659" w:rsidRDefault="00F43E5C" w:rsidP="004E11F4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خدمة المعاشات والمداخيل والتعويضات والمزايا الأخرى؛</w:t>
      </w:r>
    </w:p>
    <w:p w:rsidR="00F43E5C" w:rsidRPr="008F2659" w:rsidRDefault="00E76CF6" w:rsidP="004E11F4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استرداد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المساهمات؛</w:t>
      </w:r>
    </w:p>
    <w:p w:rsidR="00F43E5C" w:rsidRPr="008F2659" w:rsidRDefault="00E76CF6" w:rsidP="004E11F4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الدفع المسبق للمعاشات الممنوحة للمتقاعدين أو، عند الاقتضاء، لخلفائهم؛</w:t>
      </w:r>
    </w:p>
    <w:p w:rsidR="00F43E5C" w:rsidRPr="008F2659" w:rsidRDefault="00F43E5C" w:rsidP="004E11F4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رسوم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إدارة الصندوق؛</w:t>
      </w:r>
    </w:p>
    <w:p w:rsidR="00F43E5C" w:rsidRPr="008F2659" w:rsidRDefault="00F43E5C" w:rsidP="004E11F4">
      <w:pPr>
        <w:numPr>
          <w:ilvl w:val="0"/>
          <w:numId w:val="41"/>
        </w:num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المكافأة عن الخدمات المقدمة نيابة عن الصندوق في مسائل تحصيل المقبوضات ودفع المعاشات التقاعدية.</w:t>
      </w:r>
    </w:p>
    <w:p w:rsidR="00C91899" w:rsidRPr="008F2659" w:rsidRDefault="00C91899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7102FB" w:rsidRPr="008F2659" w:rsidRDefault="007102FB" w:rsidP="00EC2C22">
      <w:pPr>
        <w:autoSpaceDE w:val="0"/>
        <w:autoSpaceDN w:val="0"/>
        <w:bidi/>
        <w:adjustRightInd w:val="0"/>
        <w:spacing w:after="240"/>
        <w:jc w:val="both"/>
        <w:rPr>
          <w:rFonts w:asciiTheme="minorHAnsi" w:hAnsiTheme="minorHAnsi"/>
          <w:b/>
          <w:bCs/>
          <w:sz w:val="26"/>
          <w:szCs w:val="26"/>
          <w:rtl/>
        </w:rPr>
      </w:pPr>
      <w:r>
        <w:rPr>
          <w:rFonts w:asciiTheme="minorHAnsi" w:hAnsiTheme="minorHAnsi" w:hint="cs"/>
          <w:b/>
          <w:bCs/>
          <w:sz w:val="26"/>
          <w:szCs w:val="26"/>
          <w:rtl/>
        </w:rPr>
        <w:t>طرق الحصول على حقوق التقاعد </w:t>
      </w:r>
    </w:p>
    <w:p w:rsidR="007102FB" w:rsidRPr="00761EC6" w:rsidRDefault="007102FB" w:rsidP="00D250A0">
      <w:pPr>
        <w:bidi/>
        <w:ind w:right="-285" w:firstLine="708"/>
        <w:jc w:val="both"/>
        <w:rPr>
          <w:rFonts w:asciiTheme="minorHAnsi" w:hAnsiTheme="minorHAnsi"/>
          <w:b/>
          <w:bCs/>
          <w:sz w:val="24"/>
          <w:szCs w:val="24"/>
          <w:u w:val="single"/>
          <w:rtl/>
        </w:rPr>
      </w:pPr>
      <w:r>
        <w:rPr>
          <w:rFonts w:asciiTheme="minorHAnsi" w:hAnsiTheme="minorHAnsi" w:hint="cs"/>
          <w:b/>
          <w:bCs/>
          <w:sz w:val="24"/>
          <w:szCs w:val="24"/>
          <w:u w:val="single"/>
          <w:rtl/>
        </w:rPr>
        <w:t>سن التقاعد:</w:t>
      </w:r>
    </w:p>
    <w:p w:rsidR="007102FB" w:rsidRPr="008F2659" w:rsidRDefault="007102FB" w:rsidP="00085059">
      <w:pPr>
        <w:ind w:right="-285"/>
        <w:jc w:val="both"/>
        <w:rPr>
          <w:rFonts w:asciiTheme="minorHAnsi" w:hAnsiTheme="minorHAnsi"/>
          <w:sz w:val="26"/>
          <w:szCs w:val="26"/>
        </w:rPr>
      </w:pPr>
    </w:p>
    <w:p w:rsidR="00082CEF" w:rsidRPr="008F2659" w:rsidRDefault="007102FB" w:rsidP="004E11F4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بالنسبة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لنظام المعاشات المدنية، فقد تم تحديد سن التقاعد في 63 سنة مع تغيير تدريجي حسب الجدول التالي: </w:t>
      </w:r>
    </w:p>
    <w:p w:rsidR="00082CEF" w:rsidRPr="008F2659" w:rsidRDefault="00082CEF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082CEF" w:rsidRPr="008F2659" w:rsidRDefault="00082CEF" w:rsidP="00085059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60 عامًا للمنخرطين المولودين قبل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عام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1957؛</w:t>
      </w:r>
    </w:p>
    <w:p w:rsidR="00082CEF" w:rsidRPr="008F2659" w:rsidRDefault="00082CEF" w:rsidP="00085059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60 عامًا و6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أشهر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للمنخرطين من مواليد 1957؛</w:t>
      </w:r>
    </w:p>
    <w:p w:rsidR="00082CEF" w:rsidRPr="008F2659" w:rsidRDefault="00082CEF" w:rsidP="00085059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61 عامًا للمنخرطين من مواليد 1958؛</w:t>
      </w:r>
    </w:p>
    <w:p w:rsidR="00082CEF" w:rsidRPr="008F2659" w:rsidRDefault="00082CEF" w:rsidP="00085059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61 عامًا و6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أشهر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للمنخرطين من مواليد 1959؛</w:t>
      </w:r>
    </w:p>
    <w:p w:rsidR="005F51F5" w:rsidRPr="004E11F4" w:rsidRDefault="00082CEF" w:rsidP="004E11F4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62 عامًا للمنخرطين من مواليد 1960؛</w:t>
      </w:r>
    </w:p>
    <w:p w:rsidR="00C86239" w:rsidRDefault="00082CEF" w:rsidP="004E11F4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62 عامًا و6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أشهر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للمنخرطين من مواليد 1961؛</w:t>
      </w:r>
    </w:p>
    <w:p w:rsidR="004E11F4" w:rsidRPr="008F2659" w:rsidRDefault="004E11F4" w:rsidP="004E11F4">
      <w:pPr>
        <w:pStyle w:val="Prrafodelista"/>
        <w:numPr>
          <w:ilvl w:val="0"/>
          <w:numId w:val="33"/>
        </w:numPr>
        <w:bidi/>
        <w:ind w:left="0" w:right="-285" w:firstLine="0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63 عامًا لمواليد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عام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1962 وما بعده.</w:t>
      </w:r>
    </w:p>
    <w:p w:rsidR="00C86239" w:rsidRPr="008F2659" w:rsidRDefault="00C86239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C86239" w:rsidRPr="008F2659" w:rsidRDefault="00C86239" w:rsidP="008949C3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ومع ذلك، يجوز دفع معاش تقاعدي نسبي، عند الطلب، إل</w:t>
      </w:r>
      <w:r w:rsidR="00EF7998">
        <w:rPr>
          <w:rFonts w:asciiTheme="minorHAnsi" w:hAnsiTheme="minorHAnsi" w:hint="cs"/>
          <w:sz w:val="24"/>
          <w:szCs w:val="24"/>
          <w:rtl/>
        </w:rPr>
        <w:t>ى أي منخرط أكمل ما لا يقل عن 26</w:t>
      </w:r>
      <w:r>
        <w:rPr>
          <w:rFonts w:asciiTheme="minorHAnsi" w:hAnsiTheme="minorHAnsi" w:hint="cs"/>
          <w:sz w:val="24"/>
          <w:szCs w:val="24"/>
          <w:rtl/>
        </w:rPr>
        <w:t xml:space="preserve"> سنة من الخدمة بالنسبة للذكور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و18  سنة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من الخدمة بالنسبة للإناث.</w:t>
      </w:r>
    </w:p>
    <w:p w:rsidR="00082CEF" w:rsidRPr="008F2659" w:rsidRDefault="00082CEF" w:rsidP="00085059">
      <w:pPr>
        <w:ind w:right="-285"/>
        <w:jc w:val="both"/>
        <w:rPr>
          <w:rFonts w:asciiTheme="minorHAnsi" w:hAnsiTheme="minorHAnsi" w:cs="Calibri"/>
          <w:color w:val="0070C0"/>
          <w:sz w:val="18"/>
          <w:szCs w:val="18"/>
        </w:rPr>
      </w:pPr>
    </w:p>
    <w:p w:rsidR="007102FB" w:rsidRPr="008F2659" w:rsidRDefault="00C86239" w:rsidP="00085059">
      <w:pPr>
        <w:bidi/>
        <w:ind w:right="-285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يتميز نظام المعاشات العسكرية بتعدد سن التقاعد الذي يعتمد على السلك والرتبة التي ينتمي إليها العسكريون وأفراد القوات المساعدة.</w:t>
      </w:r>
    </w:p>
    <w:p w:rsidR="008E056D" w:rsidRPr="008F2659" w:rsidRDefault="008E056D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C86239" w:rsidRPr="00761EC6" w:rsidRDefault="007102FB" w:rsidP="00D250A0">
      <w:pPr>
        <w:bidi/>
        <w:ind w:right="-285" w:firstLine="708"/>
        <w:jc w:val="both"/>
        <w:rPr>
          <w:rFonts w:asciiTheme="minorHAnsi" w:hAnsiTheme="minorHAnsi"/>
          <w:b/>
          <w:bCs/>
          <w:sz w:val="24"/>
          <w:szCs w:val="24"/>
          <w:u w:val="single"/>
          <w:rtl/>
        </w:rPr>
      </w:pPr>
      <w:proofErr w:type="gramStart"/>
      <w:r>
        <w:rPr>
          <w:rFonts w:asciiTheme="minorHAnsi" w:hAnsiTheme="minorHAnsi" w:hint="cs"/>
          <w:b/>
          <w:bCs/>
          <w:sz w:val="24"/>
          <w:szCs w:val="24"/>
          <w:u w:val="single"/>
          <w:rtl/>
        </w:rPr>
        <w:t>حساب</w:t>
      </w:r>
      <w:proofErr w:type="gramEnd"/>
      <w:r>
        <w:rPr>
          <w:rFonts w:asciiTheme="minorHAnsi" w:hAnsiTheme="minorHAnsi" w:hint="cs"/>
          <w:b/>
          <w:bCs/>
          <w:sz w:val="24"/>
          <w:szCs w:val="24"/>
          <w:u w:val="single"/>
          <w:rtl/>
        </w:rPr>
        <w:t xml:space="preserve"> المعاش:</w:t>
      </w:r>
    </w:p>
    <w:p w:rsidR="00085059" w:rsidRPr="008F2659" w:rsidRDefault="00085059" w:rsidP="007C5168">
      <w:pPr>
        <w:bidi/>
        <w:ind w:right="-285"/>
        <w:jc w:val="both"/>
        <w:rPr>
          <w:rFonts w:asciiTheme="minorHAnsi" w:hAnsiTheme="minorHAnsi"/>
          <w:sz w:val="26"/>
          <w:szCs w:val="26"/>
          <w:rtl/>
        </w:rPr>
      </w:pPr>
      <w:r>
        <w:rPr>
          <w:rFonts w:asciiTheme="minorHAnsi" w:hAnsiTheme="minorHAnsi" w:hint="cs"/>
          <w:sz w:val="26"/>
          <w:szCs w:val="26"/>
          <w:rtl/>
        </w:rPr>
        <w:t xml:space="preserve"> </w:t>
      </w:r>
    </w:p>
    <w:p w:rsidR="008A023D" w:rsidRDefault="007102FB" w:rsidP="00D3450A">
      <w:pPr>
        <w:pStyle w:val="Textoindependiente2"/>
        <w:bidi/>
        <w:spacing w:after="0" w:line="240" w:lineRule="auto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يوفر الصندوق المغربي للتقاعد، بموجب نظام المعاشات المدنية، معاشات تقاعدية محسوبة بنسبة 2 % من الراتب المرجعي، لكل سنة من الخدمة (1.5 %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في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حالة المغادرة المبكرة). يتم تحديد هذا الراتب المرجعي بمتوسط الرواتب الأساسية الخاضعة لخصم معاش التقاعد لآخر ستة وتسعين (96) شهرًا من الخدمة. </w:t>
      </w:r>
    </w:p>
    <w:p w:rsidR="008A023D" w:rsidRDefault="008A023D" w:rsidP="00D3450A">
      <w:pPr>
        <w:pStyle w:val="Textoindependiente2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3450A" w:rsidRPr="00D3450A" w:rsidRDefault="00D3450A" w:rsidP="00D62DB1">
      <w:pPr>
        <w:pStyle w:val="Textoindependiente2"/>
        <w:bidi/>
        <w:spacing w:after="0" w:line="240" w:lineRule="auto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>من المهم ملاحظة أن المعاشات التقاعدية لسنوات الخدمة الفعلية حتى 31 دجنبر 2016 يتم احتسابها على أساس معدل سنوي قدره 2.5%.</w:t>
      </w:r>
    </w:p>
    <w:p w:rsidR="00315932" w:rsidRPr="008F2659" w:rsidRDefault="00315932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315932" w:rsidRPr="008F2659" w:rsidRDefault="00D62DB1" w:rsidP="008A023D">
      <w:pPr>
        <w:bidi/>
        <w:ind w:right="-2"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بموجب نظام المعاشات العسكرية، فإنه يوفر معاشات تقاعدية تساوي 2.5%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من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آخر راتب عمل لكل سنة من الخدمة (2% في حالة المغادرة المبكرة). </w:t>
      </w:r>
    </w:p>
    <w:p w:rsidR="00315932" w:rsidRPr="008F2659" w:rsidRDefault="00315932" w:rsidP="00315932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D62DB1" w:rsidRDefault="00085059" w:rsidP="008A023D">
      <w:pPr>
        <w:tabs>
          <w:tab w:val="left" w:pos="1780"/>
        </w:tabs>
        <w:bidi/>
        <w:jc w:val="both"/>
        <w:rPr>
          <w:rFonts w:asciiTheme="minorHAnsi" w:hAnsiTheme="minorHAnsi"/>
          <w:sz w:val="24"/>
          <w:szCs w:val="24"/>
          <w:rtl/>
        </w:rPr>
      </w:pPr>
      <w:r>
        <w:rPr>
          <w:rFonts w:asciiTheme="minorHAnsi" w:hAnsiTheme="minorHAnsi" w:hint="cs"/>
          <w:sz w:val="24"/>
          <w:szCs w:val="24"/>
          <w:rtl/>
        </w:rPr>
        <w:t xml:space="preserve">مبلغ الحد الأدنى للمعاشات المدفوعة </w:t>
      </w:r>
      <w:proofErr w:type="gramStart"/>
      <w:r>
        <w:rPr>
          <w:rFonts w:asciiTheme="minorHAnsi" w:hAnsiTheme="minorHAnsi" w:hint="cs"/>
          <w:sz w:val="24"/>
          <w:szCs w:val="24"/>
          <w:rtl/>
        </w:rPr>
        <w:t>شهريًا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بموجب النظامين هو 1500.00 درهم.</w:t>
      </w:r>
    </w:p>
    <w:p w:rsidR="00D62DB1" w:rsidRDefault="00D62DB1" w:rsidP="00085059">
      <w:pPr>
        <w:tabs>
          <w:tab w:val="left" w:pos="1780"/>
        </w:tabs>
        <w:jc w:val="both"/>
        <w:rPr>
          <w:rFonts w:asciiTheme="minorHAnsi" w:hAnsiTheme="minorHAnsi"/>
          <w:sz w:val="24"/>
          <w:szCs w:val="24"/>
        </w:rPr>
      </w:pPr>
    </w:p>
    <w:p w:rsidR="007102FB" w:rsidRPr="00761EC6" w:rsidRDefault="007102FB" w:rsidP="00D250A0">
      <w:pPr>
        <w:bidi/>
        <w:ind w:right="-285" w:firstLine="708"/>
        <w:jc w:val="both"/>
        <w:rPr>
          <w:rFonts w:asciiTheme="minorHAnsi" w:hAnsiTheme="minorHAnsi"/>
          <w:b/>
          <w:bCs/>
          <w:sz w:val="24"/>
          <w:szCs w:val="24"/>
          <w:u w:val="single"/>
          <w:rtl/>
        </w:rPr>
      </w:pPr>
      <w:r>
        <w:rPr>
          <w:rFonts w:asciiTheme="minorHAnsi" w:hAnsiTheme="minorHAnsi" w:hint="cs"/>
          <w:b/>
          <w:bCs/>
          <w:sz w:val="24"/>
          <w:szCs w:val="24"/>
          <w:u w:val="single"/>
          <w:rtl/>
        </w:rPr>
        <w:t>التوريث:</w:t>
      </w:r>
    </w:p>
    <w:p w:rsidR="00D250A0" w:rsidRDefault="00D250A0" w:rsidP="00085059">
      <w:pPr>
        <w:ind w:right="-285"/>
        <w:jc w:val="both"/>
        <w:rPr>
          <w:rFonts w:asciiTheme="minorHAnsi" w:hAnsiTheme="minorHAnsi"/>
          <w:sz w:val="24"/>
          <w:szCs w:val="24"/>
        </w:rPr>
      </w:pPr>
    </w:p>
    <w:p w:rsidR="00D250A0" w:rsidRDefault="007102FB" w:rsidP="008A023D">
      <w:pPr>
        <w:bidi/>
        <w:ind w:right="-2"/>
        <w:jc w:val="both"/>
        <w:rPr>
          <w:rFonts w:asciiTheme="minorHAnsi" w:hAnsiTheme="minorHAnsi"/>
          <w:sz w:val="24"/>
          <w:szCs w:val="24"/>
          <w:rtl/>
        </w:rPr>
      </w:pPr>
      <w:proofErr w:type="gramStart"/>
      <w:r>
        <w:rPr>
          <w:rFonts w:asciiTheme="minorHAnsi" w:hAnsiTheme="minorHAnsi" w:hint="cs"/>
          <w:sz w:val="24"/>
          <w:szCs w:val="24"/>
          <w:rtl/>
        </w:rPr>
        <w:t>في</w:t>
      </w:r>
      <w:proofErr w:type="gramEnd"/>
      <w:r>
        <w:rPr>
          <w:rFonts w:asciiTheme="minorHAnsi" w:hAnsiTheme="minorHAnsi" w:hint="cs"/>
          <w:sz w:val="24"/>
          <w:szCs w:val="24"/>
          <w:rtl/>
        </w:rPr>
        <w:t xml:space="preserve"> حالة وفاة المتقاعد، يُدفع نصف معاشه لصالح الأزواج الباقين على قيد الحياة من جهة والأيتام المتكفل بهم من جهة أخرى.</w:t>
      </w:r>
    </w:p>
    <w:sectPr w:rsidR="00D250A0" w:rsidSect="00EC2C22">
      <w:pgSz w:w="11906" w:h="16838"/>
      <w:pgMar w:top="1134" w:right="1134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CA"/>
    <w:multiLevelType w:val="hybridMultilevel"/>
    <w:tmpl w:val="17AEB794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3F91CCC"/>
    <w:multiLevelType w:val="hybridMultilevel"/>
    <w:tmpl w:val="D7EE7D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65A16"/>
    <w:multiLevelType w:val="hybridMultilevel"/>
    <w:tmpl w:val="7ED08A30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B35113E"/>
    <w:multiLevelType w:val="hybridMultilevel"/>
    <w:tmpl w:val="5D32D0D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BB2635E"/>
    <w:multiLevelType w:val="hybridMultilevel"/>
    <w:tmpl w:val="A02EA5A2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37523B"/>
    <w:multiLevelType w:val="hybridMultilevel"/>
    <w:tmpl w:val="C270ED6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0D4A0025"/>
    <w:multiLevelType w:val="hybridMultilevel"/>
    <w:tmpl w:val="99586D6A"/>
    <w:lvl w:ilvl="0" w:tplc="040C0001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7">
    <w:nsid w:val="0ED53BD0"/>
    <w:multiLevelType w:val="multilevel"/>
    <w:tmpl w:val="B082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E46A2E"/>
    <w:multiLevelType w:val="hybridMultilevel"/>
    <w:tmpl w:val="5CCA285C"/>
    <w:lvl w:ilvl="0" w:tplc="040C0005">
      <w:start w:val="1"/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9">
    <w:nsid w:val="1FD85133"/>
    <w:multiLevelType w:val="hybridMultilevel"/>
    <w:tmpl w:val="93245992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37E6492"/>
    <w:multiLevelType w:val="hybridMultilevel"/>
    <w:tmpl w:val="39A0028C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4BB4C99"/>
    <w:multiLevelType w:val="hybridMultilevel"/>
    <w:tmpl w:val="C302B860"/>
    <w:lvl w:ilvl="0" w:tplc="04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2F01679C"/>
    <w:multiLevelType w:val="hybridMultilevel"/>
    <w:tmpl w:val="3750764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328C6A3F"/>
    <w:multiLevelType w:val="multilevel"/>
    <w:tmpl w:val="7D6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A41499"/>
    <w:multiLevelType w:val="hybridMultilevel"/>
    <w:tmpl w:val="A154C58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32B9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8778A2"/>
    <w:multiLevelType w:val="hybridMultilevel"/>
    <w:tmpl w:val="45A890A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3A797F68"/>
    <w:multiLevelType w:val="hybridMultilevel"/>
    <w:tmpl w:val="FF6EDC80"/>
    <w:lvl w:ilvl="0" w:tplc="F970F734">
      <w:start w:val="5"/>
      <w:numFmt w:val="none"/>
      <w:lvlText w:val=""/>
      <w:lvlJc w:val="left"/>
      <w:pPr>
        <w:tabs>
          <w:tab w:val="num" w:pos="1129"/>
        </w:tabs>
        <w:ind w:left="1129" w:hanging="360"/>
      </w:pPr>
      <w:rPr>
        <w:rFonts w:ascii="Wingdings 2" w:hAnsi="Wingdings 2" w:cs="Traditiona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B6B3172"/>
    <w:multiLevelType w:val="hybridMultilevel"/>
    <w:tmpl w:val="3B0217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0361608"/>
    <w:multiLevelType w:val="hybridMultilevel"/>
    <w:tmpl w:val="A8E032E0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>
    <w:nsid w:val="41616D19"/>
    <w:multiLevelType w:val="hybridMultilevel"/>
    <w:tmpl w:val="A0AEC7CE"/>
    <w:lvl w:ilvl="0" w:tplc="746CB44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>
    <w:nsid w:val="42A748E0"/>
    <w:multiLevelType w:val="hybridMultilevel"/>
    <w:tmpl w:val="1ED40D7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42B31F3F"/>
    <w:multiLevelType w:val="hybridMultilevel"/>
    <w:tmpl w:val="DF205DF4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43B665CD"/>
    <w:multiLevelType w:val="hybridMultilevel"/>
    <w:tmpl w:val="4CD89142"/>
    <w:lvl w:ilvl="0" w:tplc="040C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>
    <w:nsid w:val="45D967C4"/>
    <w:multiLevelType w:val="hybridMultilevel"/>
    <w:tmpl w:val="29C27936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61F478F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25">
    <w:nsid w:val="47170DA7"/>
    <w:multiLevelType w:val="hybridMultilevel"/>
    <w:tmpl w:val="E50A768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491C69FF"/>
    <w:multiLevelType w:val="hybridMultilevel"/>
    <w:tmpl w:val="59686364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0842AD5"/>
    <w:multiLevelType w:val="hybridMultilevel"/>
    <w:tmpl w:val="F280D42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0EA6BCC"/>
    <w:multiLevelType w:val="hybridMultilevel"/>
    <w:tmpl w:val="431844A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92E09C5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30">
    <w:nsid w:val="59804C51"/>
    <w:multiLevelType w:val="hybridMultilevel"/>
    <w:tmpl w:val="E3A244A0"/>
    <w:lvl w:ilvl="0" w:tplc="040C000F">
      <w:start w:val="1"/>
      <w:numFmt w:val="decimal"/>
      <w:lvlText w:val="%1."/>
      <w:lvlJc w:val="left"/>
      <w:pPr>
        <w:ind w:left="-414" w:hanging="360"/>
      </w:p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1">
    <w:nsid w:val="63E400DC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>
    <w:nsid w:val="64F43BE0"/>
    <w:multiLevelType w:val="hybridMultilevel"/>
    <w:tmpl w:val="9E98DC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B6BB4"/>
    <w:multiLevelType w:val="hybridMultilevel"/>
    <w:tmpl w:val="44ACEE8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8E30A0C"/>
    <w:multiLevelType w:val="hybridMultilevel"/>
    <w:tmpl w:val="4BAA3E4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6D7F7E55"/>
    <w:multiLevelType w:val="hybridMultilevel"/>
    <w:tmpl w:val="D3529460"/>
    <w:lvl w:ilvl="0" w:tplc="746CB44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D7319"/>
    <w:multiLevelType w:val="hybridMultilevel"/>
    <w:tmpl w:val="AC32882A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7">
    <w:nsid w:val="73402ADC"/>
    <w:multiLevelType w:val="hybridMultilevel"/>
    <w:tmpl w:val="F70887DE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8">
    <w:nsid w:val="73EB3F9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>
    <w:nsid w:val="75742B83"/>
    <w:multiLevelType w:val="hybridMultilevel"/>
    <w:tmpl w:val="EBF6FCF0"/>
    <w:lvl w:ilvl="0" w:tplc="F970F734">
      <w:start w:val="5"/>
      <w:numFmt w:val="none"/>
      <w:lvlText w:val=""/>
      <w:lvlJc w:val="left"/>
      <w:pPr>
        <w:tabs>
          <w:tab w:val="num" w:pos="1129"/>
        </w:tabs>
        <w:ind w:left="1129" w:hanging="360"/>
      </w:pPr>
      <w:rPr>
        <w:rFonts w:ascii="Wingdings 2" w:hAnsi="Wingdings 2" w:cs="Tradition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>
    <w:nsid w:val="7C3D747B"/>
    <w:multiLevelType w:val="multilevel"/>
    <w:tmpl w:val="872AF2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41">
    <w:nsid w:val="7F2F104C"/>
    <w:multiLevelType w:val="hybridMultilevel"/>
    <w:tmpl w:val="DEC24EF6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FD3069A"/>
    <w:multiLevelType w:val="hybridMultilevel"/>
    <w:tmpl w:val="E80CC1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38"/>
  </w:num>
  <w:num w:numId="2">
    <w:abstractNumId w:val="29"/>
  </w:num>
  <w:num w:numId="3">
    <w:abstractNumId w:val="19"/>
  </w:num>
  <w:num w:numId="4">
    <w:abstractNumId w:val="6"/>
  </w:num>
  <w:num w:numId="5">
    <w:abstractNumId w:val="20"/>
  </w:num>
  <w:num w:numId="6">
    <w:abstractNumId w:val="33"/>
  </w:num>
  <w:num w:numId="7">
    <w:abstractNumId w:val="3"/>
  </w:num>
  <w:num w:numId="8">
    <w:abstractNumId w:val="14"/>
  </w:num>
  <w:num w:numId="9">
    <w:abstractNumId w:val="31"/>
  </w:num>
  <w:num w:numId="10">
    <w:abstractNumId w:val="37"/>
  </w:num>
  <w:num w:numId="11">
    <w:abstractNumId w:val="15"/>
  </w:num>
  <w:num w:numId="12">
    <w:abstractNumId w:val="41"/>
  </w:num>
  <w:num w:numId="13">
    <w:abstractNumId w:val="36"/>
  </w:num>
  <w:num w:numId="14">
    <w:abstractNumId w:val="2"/>
  </w:num>
  <w:num w:numId="15">
    <w:abstractNumId w:val="23"/>
  </w:num>
  <w:num w:numId="16">
    <w:abstractNumId w:val="24"/>
  </w:num>
  <w:num w:numId="17">
    <w:abstractNumId w:val="25"/>
  </w:num>
  <w:num w:numId="18">
    <w:abstractNumId w:val="9"/>
  </w:num>
  <w:num w:numId="19">
    <w:abstractNumId w:val="28"/>
  </w:num>
  <w:num w:numId="20">
    <w:abstractNumId w:val="40"/>
  </w:num>
  <w:num w:numId="21">
    <w:abstractNumId w:val="34"/>
  </w:num>
  <w:num w:numId="22">
    <w:abstractNumId w:val="26"/>
  </w:num>
  <w:num w:numId="23">
    <w:abstractNumId w:val="21"/>
  </w:num>
  <w:num w:numId="24">
    <w:abstractNumId w:val="17"/>
  </w:num>
  <w:num w:numId="25">
    <w:abstractNumId w:val="0"/>
  </w:num>
  <w:num w:numId="26">
    <w:abstractNumId w:val="5"/>
  </w:num>
  <w:num w:numId="27">
    <w:abstractNumId w:val="12"/>
  </w:num>
  <w:num w:numId="28">
    <w:abstractNumId w:val="13"/>
  </w:num>
  <w:num w:numId="29">
    <w:abstractNumId w:val="7"/>
  </w:num>
  <w:num w:numId="30">
    <w:abstractNumId w:val="10"/>
  </w:num>
  <w:num w:numId="31">
    <w:abstractNumId w:val="35"/>
  </w:num>
  <w:num w:numId="32">
    <w:abstractNumId w:val="4"/>
  </w:num>
  <w:num w:numId="33">
    <w:abstractNumId w:val="1"/>
  </w:num>
  <w:num w:numId="34">
    <w:abstractNumId w:val="11"/>
  </w:num>
  <w:num w:numId="35">
    <w:abstractNumId w:val="22"/>
  </w:num>
  <w:num w:numId="36">
    <w:abstractNumId w:val="30"/>
  </w:num>
  <w:num w:numId="37">
    <w:abstractNumId w:val="42"/>
  </w:num>
  <w:num w:numId="38">
    <w:abstractNumId w:val="16"/>
  </w:num>
  <w:num w:numId="39">
    <w:abstractNumId w:val="18"/>
  </w:num>
  <w:num w:numId="40">
    <w:abstractNumId w:val="39"/>
  </w:num>
  <w:num w:numId="41">
    <w:abstractNumId w:val="27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FB"/>
    <w:rsid w:val="0000135D"/>
    <w:rsid w:val="00023A56"/>
    <w:rsid w:val="0004567D"/>
    <w:rsid w:val="00056A99"/>
    <w:rsid w:val="00082CEF"/>
    <w:rsid w:val="00085059"/>
    <w:rsid w:val="00097F27"/>
    <w:rsid w:val="000E17D6"/>
    <w:rsid w:val="000E27F2"/>
    <w:rsid w:val="000E4B8F"/>
    <w:rsid w:val="00112C2A"/>
    <w:rsid w:val="00135F57"/>
    <w:rsid w:val="00146070"/>
    <w:rsid w:val="00181979"/>
    <w:rsid w:val="0019288F"/>
    <w:rsid w:val="001B5E24"/>
    <w:rsid w:val="001C4E71"/>
    <w:rsid w:val="00231104"/>
    <w:rsid w:val="00245325"/>
    <w:rsid w:val="00305113"/>
    <w:rsid w:val="00315932"/>
    <w:rsid w:val="00396555"/>
    <w:rsid w:val="003A7727"/>
    <w:rsid w:val="003E6DEF"/>
    <w:rsid w:val="00472A0A"/>
    <w:rsid w:val="004C18C2"/>
    <w:rsid w:val="004E11F4"/>
    <w:rsid w:val="00504470"/>
    <w:rsid w:val="00535BA0"/>
    <w:rsid w:val="00591948"/>
    <w:rsid w:val="005B63CD"/>
    <w:rsid w:val="005F51F5"/>
    <w:rsid w:val="00680054"/>
    <w:rsid w:val="006A5195"/>
    <w:rsid w:val="00701E26"/>
    <w:rsid w:val="007102FB"/>
    <w:rsid w:val="00731D7D"/>
    <w:rsid w:val="007469EF"/>
    <w:rsid w:val="00761EC6"/>
    <w:rsid w:val="007744DB"/>
    <w:rsid w:val="0079635E"/>
    <w:rsid w:val="007A6562"/>
    <w:rsid w:val="007B5C95"/>
    <w:rsid w:val="007C0EB1"/>
    <w:rsid w:val="007C5168"/>
    <w:rsid w:val="008225DD"/>
    <w:rsid w:val="00825C31"/>
    <w:rsid w:val="0085089F"/>
    <w:rsid w:val="008949C3"/>
    <w:rsid w:val="008A023D"/>
    <w:rsid w:val="008B2D48"/>
    <w:rsid w:val="008C0387"/>
    <w:rsid w:val="008D17C8"/>
    <w:rsid w:val="008D3435"/>
    <w:rsid w:val="008D355F"/>
    <w:rsid w:val="008E056D"/>
    <w:rsid w:val="008F2659"/>
    <w:rsid w:val="009A6E87"/>
    <w:rsid w:val="009D50AC"/>
    <w:rsid w:val="009F54AE"/>
    <w:rsid w:val="00A22C3B"/>
    <w:rsid w:val="00A23163"/>
    <w:rsid w:val="00A24CEF"/>
    <w:rsid w:val="00A47DD5"/>
    <w:rsid w:val="00A739E6"/>
    <w:rsid w:val="00A9262C"/>
    <w:rsid w:val="00A93993"/>
    <w:rsid w:val="00AD2D3B"/>
    <w:rsid w:val="00B405CA"/>
    <w:rsid w:val="00B507B9"/>
    <w:rsid w:val="00B92ED7"/>
    <w:rsid w:val="00B930A4"/>
    <w:rsid w:val="00BC1643"/>
    <w:rsid w:val="00BD3FC1"/>
    <w:rsid w:val="00BF36F4"/>
    <w:rsid w:val="00C02C92"/>
    <w:rsid w:val="00C2698D"/>
    <w:rsid w:val="00C67611"/>
    <w:rsid w:val="00C75D29"/>
    <w:rsid w:val="00C77D40"/>
    <w:rsid w:val="00C86239"/>
    <w:rsid w:val="00C86DD1"/>
    <w:rsid w:val="00C91899"/>
    <w:rsid w:val="00CB21F3"/>
    <w:rsid w:val="00CE2DED"/>
    <w:rsid w:val="00CE6C42"/>
    <w:rsid w:val="00D009A2"/>
    <w:rsid w:val="00D02DAD"/>
    <w:rsid w:val="00D250A0"/>
    <w:rsid w:val="00D3450A"/>
    <w:rsid w:val="00D62DB1"/>
    <w:rsid w:val="00D94505"/>
    <w:rsid w:val="00DB28F9"/>
    <w:rsid w:val="00E37D7B"/>
    <w:rsid w:val="00E65A9A"/>
    <w:rsid w:val="00E76CF6"/>
    <w:rsid w:val="00EA17E8"/>
    <w:rsid w:val="00EB021A"/>
    <w:rsid w:val="00EC2C22"/>
    <w:rsid w:val="00ED5510"/>
    <w:rsid w:val="00EF01AA"/>
    <w:rsid w:val="00EF515A"/>
    <w:rsid w:val="00EF7998"/>
    <w:rsid w:val="00F42F31"/>
    <w:rsid w:val="00F43E5C"/>
    <w:rsid w:val="00F57BF7"/>
    <w:rsid w:val="00F7475C"/>
    <w:rsid w:val="00FA143C"/>
    <w:rsid w:val="00FB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M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5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EB021A"/>
    <w:pPr>
      <w:spacing w:before="100" w:beforeAutospacing="1" w:after="100" w:afterAutospacing="1"/>
      <w:outlineLvl w:val="3"/>
    </w:pPr>
    <w:rPr>
      <w:b/>
      <w:bCs/>
      <w:sz w:val="24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ar">
    <w:name w:val="1 Car"/>
    <w:basedOn w:val="Normal"/>
    <w:rsid w:val="007102FB"/>
    <w:pPr>
      <w:spacing w:after="160" w:line="240" w:lineRule="exact"/>
    </w:pPr>
    <w:rPr>
      <w:sz w:val="24"/>
      <w:szCs w:val="24"/>
      <w:lang w:eastAsia="fr-FR"/>
    </w:rPr>
  </w:style>
  <w:style w:type="paragraph" w:styleId="Textoindependiente">
    <w:name w:val="Body Text"/>
    <w:basedOn w:val="Normal"/>
    <w:link w:val="TextoindependienteCar"/>
    <w:rsid w:val="00A47DD5"/>
    <w:pPr>
      <w:spacing w:after="120"/>
    </w:pPr>
    <w:rPr>
      <w:sz w:val="24"/>
      <w:szCs w:val="24"/>
      <w:lang w:eastAsia="fr-FR"/>
    </w:rPr>
  </w:style>
  <w:style w:type="character" w:customStyle="1" w:styleId="TextoindependienteCar">
    <w:name w:val="Texto independiente Car"/>
    <w:basedOn w:val="Fuentedeprrafopredeter"/>
    <w:link w:val="Textoindependiente"/>
    <w:rsid w:val="00A47D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tulo4Car">
    <w:name w:val="Título 4 Car"/>
    <w:basedOn w:val="Fuentedeprrafopredeter"/>
    <w:link w:val="Ttulo4"/>
    <w:uiPriority w:val="9"/>
    <w:rsid w:val="00EB021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CE2DE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68005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00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D250A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M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5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qFormat/>
    <w:rsid w:val="00EB021A"/>
    <w:pPr>
      <w:spacing w:before="100" w:beforeAutospacing="1" w:after="100" w:afterAutospacing="1"/>
      <w:outlineLvl w:val="3"/>
    </w:pPr>
    <w:rPr>
      <w:b/>
      <w:bCs/>
      <w:sz w:val="24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ar">
    <w:name w:val="1 Car"/>
    <w:basedOn w:val="Normal"/>
    <w:rsid w:val="007102FB"/>
    <w:pPr>
      <w:spacing w:after="160" w:line="240" w:lineRule="exact"/>
    </w:pPr>
    <w:rPr>
      <w:sz w:val="24"/>
      <w:szCs w:val="24"/>
      <w:lang w:eastAsia="fr-FR"/>
    </w:rPr>
  </w:style>
  <w:style w:type="paragraph" w:styleId="Textoindependiente">
    <w:name w:val="Body Text"/>
    <w:basedOn w:val="Normal"/>
    <w:link w:val="TextoindependienteCar"/>
    <w:rsid w:val="00A47DD5"/>
    <w:pPr>
      <w:spacing w:after="120"/>
    </w:pPr>
    <w:rPr>
      <w:sz w:val="24"/>
      <w:szCs w:val="24"/>
      <w:lang w:eastAsia="fr-FR"/>
    </w:rPr>
  </w:style>
  <w:style w:type="character" w:customStyle="1" w:styleId="TextoindependienteCar">
    <w:name w:val="Texto independiente Car"/>
    <w:basedOn w:val="Fuentedeprrafopredeter"/>
    <w:link w:val="Textoindependiente"/>
    <w:rsid w:val="00A47DD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tulo4Car">
    <w:name w:val="Título 4 Car"/>
    <w:basedOn w:val="Fuentedeprrafopredeter"/>
    <w:link w:val="Ttulo4"/>
    <w:uiPriority w:val="9"/>
    <w:rsid w:val="00EB021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CE2DE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68005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005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rsid w:val="00D250A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9BDA-A31F-435C-B998-CD0F098F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DAPS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basma.essakouti</dc:creator>
  <cp:lastModifiedBy>mohamed chebbab</cp:lastModifiedBy>
  <cp:revision>10</cp:revision>
  <cp:lastPrinted>2017-07-14T13:57:00Z</cp:lastPrinted>
  <dcterms:created xsi:type="dcterms:W3CDTF">2017-07-14T14:01:00Z</dcterms:created>
  <dcterms:modified xsi:type="dcterms:W3CDTF">2021-07-18T15:11:00Z</dcterms:modified>
</cp:coreProperties>
</file>