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FD89A" w14:textId="77777777" w:rsidR="009101FF" w:rsidRPr="00D91E73" w:rsidRDefault="009101FF" w:rsidP="009177EB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ind w:left="1701" w:right="169" w:firstLine="283"/>
        <w:jc w:val="center"/>
        <w:bidi/>
        <w:rPr>
          <w:b/>
          <w:bCs/>
          <w:sz w:val="32"/>
          <w:szCs w:val="32"/>
          <w:rFonts w:asciiTheme="minorHAnsi" w:hAnsiTheme="minorHAnsi" w:cstheme="majorBidi" w:hint="cs"/>
          <w:rtl/>
        </w:rPr>
      </w:pPr>
      <w:bookmarkStart w:id="0" w:name="_Toc108426808"/>
      <w:r>
        <w:rPr>
          <w:b/>
          <w:bCs/>
          <w:sz w:val="32"/>
          <w:szCs w:val="32"/>
          <w:rFonts w:asciiTheme="minorHAnsi" w:hAnsiTheme="minorHAnsi" w:hint="cs"/>
          <w:rtl/>
        </w:rPr>
        <w:t xml:space="preserve">الصندوق المهني المغربي للتقاعد (</w:t>
      </w:r>
      <w:r>
        <w:rPr>
          <w:b/>
          <w:bCs/>
          <w:sz w:val="32"/>
          <w:szCs w:val="32"/>
          <w:rFonts w:asciiTheme="minorHAnsi" w:hAnsiTheme="minorHAnsi"/>
        </w:rPr>
        <w:t xml:space="preserve">CIMR</w:t>
      </w:r>
      <w:r>
        <w:rPr>
          <w:b/>
          <w:bCs/>
          <w:sz w:val="32"/>
          <w:szCs w:val="32"/>
          <w:rFonts w:asciiTheme="minorHAnsi" w:hAnsiTheme="minorHAnsi" w:hint="cs"/>
          <w:rtl/>
        </w:rPr>
        <w:t xml:space="preserve">)</w:t>
      </w:r>
      <w:bookmarkEnd w:id="0"/>
    </w:p>
    <w:p w14:paraId="69853C59" w14:textId="77777777" w:rsidR="00D52103" w:rsidRPr="00D91E73" w:rsidRDefault="00D52103" w:rsidP="009101FF">
      <w:pPr>
        <w:ind w:right="-285" w:firstLine="1418"/>
        <w:jc w:val="both"/>
        <w:rPr>
          <w:rFonts w:asciiTheme="minorHAnsi" w:hAnsiTheme="minorHAnsi"/>
          <w:b/>
          <w:bCs/>
          <w:sz w:val="28"/>
          <w:szCs w:val="28"/>
          <w:u w:val="single"/>
          <w:lang w:val="fr-FR"/>
        </w:rPr>
      </w:pPr>
    </w:p>
    <w:p w14:paraId="37690936" w14:textId="77777777" w:rsidR="00735F76" w:rsidRPr="00D91E73" w:rsidRDefault="00735F76" w:rsidP="00735F76">
      <w:pPr>
        <w:ind w:right="-285" w:firstLine="709"/>
        <w:jc w:val="both"/>
        <w:rPr>
          <w:rFonts w:asciiTheme="minorHAnsi" w:hAnsiTheme="minorHAnsi"/>
          <w:b/>
          <w:sz w:val="24"/>
          <w:szCs w:val="24"/>
          <w:lang w:val="fr-FR"/>
        </w:rPr>
      </w:pPr>
    </w:p>
    <w:p w14:paraId="53931F27" w14:textId="77777777" w:rsidR="00EF29BC" w:rsidRPr="00D91E73" w:rsidRDefault="00EF29BC" w:rsidP="00735F76">
      <w:pPr>
        <w:ind w:right="-285" w:firstLine="709"/>
        <w:jc w:val="both"/>
        <w:rPr>
          <w:rFonts w:asciiTheme="minorHAnsi" w:hAnsiTheme="minorHAnsi"/>
          <w:b/>
          <w:sz w:val="24"/>
          <w:szCs w:val="24"/>
          <w:lang w:val="fr-FR"/>
        </w:rPr>
      </w:pPr>
    </w:p>
    <w:p w14:paraId="4E1F0065" w14:textId="77777777" w:rsidR="00735F76" w:rsidRPr="00D91E73" w:rsidRDefault="00D91E73" w:rsidP="00A37B59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التاريخ</w:t>
      </w:r>
      <w:r>
        <w:rPr>
          <w:b/>
          <w:sz w:val="26"/>
          <w:szCs w:val="26"/>
          <w:rFonts w:asciiTheme="minorHAnsi" w:hAnsiTheme="minorHAnsi" w:hint="cs"/>
          <w:rtl/>
        </w:rPr>
        <w:t xml:space="preserve">   </w:t>
      </w:r>
    </w:p>
    <w:p w14:paraId="165F0BBE" w14:textId="77777777" w:rsidR="00160153" w:rsidRDefault="00192416" w:rsidP="00192416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تم إنشاء الصندوق المهني المغربي للتقاعد في عام </w:t>
      </w:r>
      <w:r>
        <w:rPr>
          <w:sz w:val="24"/>
          <w:szCs w:val="24"/>
          <w:rFonts w:asciiTheme="minorHAnsi" w:hAnsiTheme="minorHAnsi" w:hint="cs"/>
          <w:rtl/>
        </w:rPr>
        <w:t xml:space="preserve">1949 بمبادرة من مجموعة من أرباب العمل في القطاع الخاص.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كان يدار في شكل جمعية أرباب العمل يحكمها ظهير </w:t>
      </w:r>
      <w:r>
        <w:rPr>
          <w:sz w:val="24"/>
          <w:szCs w:val="24"/>
          <w:rFonts w:asciiTheme="minorHAnsi" w:hAnsiTheme="minorHAnsi" w:hint="cs"/>
          <w:rtl/>
        </w:rPr>
        <w:t xml:space="preserve">15 نوفمبر </w:t>
      </w:r>
      <w:r>
        <w:rPr>
          <w:sz w:val="24"/>
          <w:szCs w:val="24"/>
          <w:rFonts w:asciiTheme="minorHAnsi" w:hAnsiTheme="minorHAnsi" w:hint="cs"/>
          <w:rtl/>
        </w:rPr>
        <w:t xml:space="preserve">1958 الذي ينظم الحق في تكوين الجمعيات.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يعمل النظام على أساس قوانينه الأساسية ولوائحه الداخلية المعتمدة من قبل هيئات إدارة هذا الصندوق.</w:t>
      </w:r>
    </w:p>
    <w:p w14:paraId="575244D3" w14:textId="77777777" w:rsidR="00502A5A" w:rsidRPr="00D91E73" w:rsidRDefault="00735F76" w:rsidP="00160153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br/>
      </w:r>
      <w:r>
        <w:rPr>
          <w:sz w:val="24"/>
          <w:szCs w:val="24"/>
          <w:rFonts w:asciiTheme="minorHAnsi" w:hAnsiTheme="minorHAnsi" w:hint="cs"/>
          <w:rtl/>
        </w:rPr>
        <w:t xml:space="preserve">من أجل الامتثال لأحكام القانون رقم </w:t>
      </w:r>
      <w:r>
        <w:rPr>
          <w:sz w:val="24"/>
          <w:szCs w:val="24"/>
          <w:rFonts w:asciiTheme="minorHAnsi" w:hAnsiTheme="minorHAnsi" w:hint="cs"/>
          <w:rtl/>
        </w:rPr>
        <w:t xml:space="preserve">64-</w:t>
      </w:r>
      <w:r>
        <w:rPr>
          <w:sz w:val="24"/>
          <w:szCs w:val="24"/>
          <w:rFonts w:asciiTheme="minorHAnsi" w:hAnsiTheme="minorHAnsi" w:hint="cs"/>
          <w:rtl/>
        </w:rPr>
        <w:t xml:space="preserve">12 المنشئ لهيئة مراقبة التأمينات والاحتياط الاجتماعي، تم تحويل الصندوق المهني المغربي للتقاعد، في عام </w:t>
      </w:r>
      <w:r>
        <w:rPr>
          <w:sz w:val="24"/>
          <w:szCs w:val="24"/>
          <w:rFonts w:asciiTheme="minorHAnsi" w:hAnsiTheme="minorHAnsi" w:hint="cs"/>
          <w:rtl/>
        </w:rPr>
        <w:t xml:space="preserve">2017، إلى الصندوق المغربي للتقاعد (</w:t>
      </w:r>
      <w:r>
        <w:rPr>
          <w:sz w:val="24"/>
          <w:szCs w:val="24"/>
          <w:rFonts w:asciiTheme="minorHAnsi" w:hAnsiTheme="minorHAnsi"/>
        </w:rPr>
        <w:t xml:space="preserve">SMR</w:t>
      </w:r>
      <w:r>
        <w:rPr>
          <w:sz w:val="24"/>
          <w:szCs w:val="24"/>
          <w:rFonts w:asciiTheme="minorHAnsi" w:hAnsiTheme="minorHAnsi" w:hint="cs"/>
          <w:rtl/>
        </w:rPr>
        <w:t xml:space="preserve">).</w:t>
      </w:r>
    </w:p>
    <w:p w14:paraId="0A273377" w14:textId="77777777" w:rsidR="00502A5A" w:rsidRPr="00D91E73" w:rsidRDefault="00502A5A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CEE036C" w14:textId="77777777" w:rsidR="00A37B59" w:rsidRPr="00D91E73" w:rsidRDefault="00A37B59" w:rsidP="00A37B59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الإدارة</w:t>
      </w:r>
    </w:p>
    <w:p w14:paraId="7205F9A2" w14:textId="77777777" w:rsidR="00160153" w:rsidRDefault="00160153" w:rsidP="00160153">
      <w:pPr>
        <w:ind w:left="567" w:right="-285"/>
        <w:jc w:val="both"/>
        <w:bidi/>
        <w:rPr>
          <w:sz w:val="24"/>
          <w:szCs w:val="24"/>
          <w:rFonts w:asciiTheme="minorHAnsi" w:eastAsia="Times New Roman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يتم إدارة الصندوق المهني المغربي للتقاعد من قبل جمعية عامة ومجلس إدارة يتألف فقط من ممثلي أرباب العمل (</w:t>
      </w:r>
      <w:r>
        <w:rPr>
          <w:sz w:val="24"/>
          <w:szCs w:val="24"/>
          <w:rFonts w:asciiTheme="minorHAnsi" w:hAnsiTheme="minorHAnsi" w:hint="cs"/>
          <w:rtl/>
        </w:rPr>
        <w:t xml:space="preserve">12 إلى </w:t>
      </w:r>
      <w:r>
        <w:rPr>
          <w:sz w:val="24"/>
          <w:szCs w:val="24"/>
          <w:rFonts w:asciiTheme="minorHAnsi" w:hAnsiTheme="minorHAnsi" w:hint="cs"/>
          <w:rtl/>
        </w:rPr>
        <w:t xml:space="preserve">24 عضوًا لمجلس الإدارة).</w:t>
      </w:r>
    </w:p>
    <w:p w14:paraId="6A46ACEB" w14:textId="77777777" w:rsidR="00160153" w:rsidRPr="00160153" w:rsidRDefault="00160153" w:rsidP="00160153">
      <w:pPr>
        <w:ind w:left="567" w:right="-285"/>
        <w:jc w:val="both"/>
        <w:rPr>
          <w:rFonts w:asciiTheme="minorHAnsi" w:eastAsia="Times New Roman" w:hAnsiTheme="minorHAnsi" w:cstheme="majorBidi"/>
          <w:sz w:val="24"/>
          <w:szCs w:val="24"/>
          <w:lang w:val="fr-FR" w:eastAsia="ar-SA"/>
        </w:rPr>
      </w:pPr>
    </w:p>
    <w:p w14:paraId="346490F5" w14:textId="77777777" w:rsidR="00160153" w:rsidRDefault="00160153" w:rsidP="00160153">
      <w:pPr>
        <w:ind w:left="567" w:right="-285"/>
        <w:jc w:val="both"/>
        <w:bidi/>
        <w:rPr>
          <w:sz w:val="24"/>
          <w:szCs w:val="24"/>
          <w:rFonts w:asciiTheme="minorHAnsi" w:eastAsia="Times New Roman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يضع مجلس الإدارة المبادئ التوجيهية لنشاط الجمعية ويشرف على تنفيذها.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1119DBD3" w14:textId="77777777" w:rsidR="00160153" w:rsidRPr="00160153" w:rsidRDefault="00160153" w:rsidP="00160153">
      <w:pPr>
        <w:ind w:left="567" w:right="-285"/>
        <w:jc w:val="both"/>
        <w:rPr>
          <w:rFonts w:asciiTheme="minorHAnsi" w:eastAsia="Times New Roman" w:hAnsiTheme="minorHAnsi" w:cstheme="majorBidi"/>
          <w:sz w:val="24"/>
          <w:szCs w:val="24"/>
          <w:lang w:val="fr-FR" w:eastAsia="ar-SA"/>
        </w:rPr>
      </w:pPr>
    </w:p>
    <w:p w14:paraId="2812F8CF" w14:textId="77777777" w:rsidR="00160153" w:rsidRDefault="00160153" w:rsidP="00160153">
      <w:pPr>
        <w:ind w:left="567" w:right="-285"/>
        <w:jc w:val="both"/>
        <w:bidi/>
        <w:rPr>
          <w:sz w:val="24"/>
          <w:szCs w:val="24"/>
          <w:rFonts w:asciiTheme="minorHAnsi" w:eastAsia="Times New Roman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يتم تشكيل اللجان التالية إجبارياً داخل الصندوق المهني المغربي للتقاعد:</w:t>
      </w:r>
    </w:p>
    <w:p w14:paraId="7ADFD7CA" w14:textId="77777777" w:rsidR="00160153" w:rsidRPr="00160153" w:rsidRDefault="00160153" w:rsidP="00160153">
      <w:pPr>
        <w:ind w:left="567" w:right="-285"/>
        <w:jc w:val="both"/>
        <w:rPr>
          <w:rFonts w:asciiTheme="minorHAnsi" w:eastAsia="Times New Roman" w:hAnsiTheme="minorHAnsi" w:cstheme="majorBidi"/>
          <w:sz w:val="24"/>
          <w:szCs w:val="24"/>
          <w:lang w:val="fr-FR" w:eastAsia="ar-SA"/>
        </w:rPr>
      </w:pPr>
    </w:p>
    <w:p w14:paraId="7866623B" w14:textId="77777777" w:rsidR="00160153" w:rsidRPr="00160153" w:rsidRDefault="00160153" w:rsidP="00160153">
      <w:pPr>
        <w:widowControl/>
        <w:numPr>
          <w:ilvl w:val="0"/>
          <w:numId w:val="18"/>
        </w:numPr>
        <w:spacing w:after="120"/>
        <w:ind w:left="1066" w:right="-284" w:hanging="357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اللجنة التوجيهية: وهي مسؤولة عن إعداد دراسات ديموغرافية ومالية سنوية مستقبلية وإعداد أي دراسة بناءً على طلب مجلس الإدارة.</w:t>
      </w:r>
    </w:p>
    <w:p w14:paraId="0AD36966" w14:textId="77777777" w:rsidR="00160153" w:rsidRPr="00160153" w:rsidRDefault="00160153" w:rsidP="00160153">
      <w:pPr>
        <w:widowControl/>
        <w:numPr>
          <w:ilvl w:val="0"/>
          <w:numId w:val="18"/>
        </w:numPr>
        <w:spacing w:after="120"/>
        <w:ind w:left="1066" w:right="-284" w:hanging="357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لجنة المراجعة: تقوم بمساعدة المدققين القانونيين بفحص الحسابات السنوية قبل عرضها على مجلس الإدارة والتأكد من جودة المراقبة الداخلية ومراعاة المخاطر المتعلقة بنشاط الصندوق.</w:t>
      </w:r>
    </w:p>
    <w:p w14:paraId="6B7F1A2F" w14:textId="77777777" w:rsidR="00160153" w:rsidRPr="00160153" w:rsidRDefault="00160153" w:rsidP="00160153">
      <w:pPr>
        <w:widowControl/>
        <w:numPr>
          <w:ilvl w:val="0"/>
          <w:numId w:val="18"/>
        </w:numPr>
        <w:spacing w:after="120"/>
        <w:ind w:left="1066" w:right="-284" w:hanging="357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لجنة الاستثمار: تضع الخيارات الاستراتيجية للإدارة المالية لعرضها على مجلس الإدارة للمصادقة عليها والإشراف على تنفيذها.</w:t>
      </w:r>
    </w:p>
    <w:p w14:paraId="061C7CC2" w14:textId="77777777" w:rsidR="00A37B59" w:rsidRPr="00160153" w:rsidRDefault="00160153" w:rsidP="00160153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لجنة المكافآت والتعيينات: وهي مسؤولة عن التحقق من سياسة الرواتب وتحديد مكافآت المسؤولين التنفيذيين والتعيينات في المناصب التنفيذية.</w:t>
      </w:r>
    </w:p>
    <w:p w14:paraId="0DEABF60" w14:textId="77777777" w:rsidR="00A37B59" w:rsidRDefault="00A37B59" w:rsidP="00160153">
      <w:pPr>
        <w:ind w:left="-425" w:right="-284" w:firstLine="992"/>
        <w:jc w:val="both"/>
        <w:rPr>
          <w:rFonts w:asciiTheme="minorHAnsi" w:hAnsiTheme="minorHAnsi" w:cstheme="majorBidi"/>
          <w:b/>
          <w:sz w:val="26"/>
          <w:szCs w:val="26"/>
          <w:lang w:val="fr-FR"/>
        </w:rPr>
      </w:pPr>
    </w:p>
    <w:p w14:paraId="01BC6F64" w14:textId="77777777" w:rsidR="00735F76" w:rsidRPr="00D91E73" w:rsidRDefault="00735F76" w:rsidP="00A37B59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مجال التطبيق</w:t>
      </w:r>
    </w:p>
    <w:p w14:paraId="3509F492" w14:textId="77777777" w:rsidR="00160153" w:rsidRDefault="00EF71AC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نظام الصندوق المهني المغربي للتقاعد، ذو الاشتراك الاختياري، هو مفتوح لأربع فئات من الناس:</w:t>
      </w:r>
    </w:p>
    <w:p w14:paraId="59F84315" w14:textId="77777777" w:rsidR="00160153" w:rsidRDefault="00160153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24325665" w14:textId="77777777" w:rsidR="00160153" w:rsidRDefault="00160153" w:rsidP="00160153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الأشخاص الاعتباريون الذين يستخدمون موظفين يتقاضون رواتب؛</w:t>
      </w:r>
    </w:p>
    <w:p w14:paraId="3A292B65" w14:textId="77777777" w:rsidR="00160153" w:rsidRDefault="00160153" w:rsidP="00160153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الأشخاص الطبيعيون الذين يستخدمون موظفين يتقاضون رواتب؛</w:t>
      </w:r>
    </w:p>
    <w:p w14:paraId="58729F33" w14:textId="77777777" w:rsidR="00160153" w:rsidRDefault="00160153" w:rsidP="00160153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الأشخاص الذين يتصرفون نيابة عن الأعضاء الذين لا يتقاضون رواتب؛</w:t>
      </w:r>
    </w:p>
    <w:p w14:paraId="40525BBE" w14:textId="77777777" w:rsidR="00160153" w:rsidRDefault="00160153" w:rsidP="00160153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الأشخاص الطبيعيون بشكل فردي.</w:t>
      </w:r>
    </w:p>
    <w:p w14:paraId="3296574C" w14:textId="77777777" w:rsidR="00160153" w:rsidRDefault="00160153" w:rsidP="00160153">
      <w:pPr>
        <w:ind w:left="567" w:right="-285"/>
        <w:jc w:val="both"/>
        <w:rPr>
          <w:rFonts w:asciiTheme="minorHAnsi" w:hAnsiTheme="minorHAnsi" w:cstheme="minorHAnsi"/>
          <w:sz w:val="26"/>
          <w:szCs w:val="26"/>
          <w:lang w:val="fr-FR"/>
        </w:rPr>
      </w:pPr>
    </w:p>
    <w:p w14:paraId="4C9FDF31" w14:textId="77777777" w:rsidR="00160153" w:rsidRDefault="00160153" w:rsidP="00160153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نظام الصندوق المهني المغربي للتقاعد متاح لأي رب عمل مقيم في المغرب ولديه </w:t>
      </w:r>
      <w:r>
        <w:rPr>
          <w:sz w:val="24"/>
          <w:szCs w:val="24"/>
          <w:rFonts w:asciiTheme="minorHAnsi" w:hAnsiTheme="minorHAnsi" w:hint="cs"/>
          <w:rtl/>
        </w:rPr>
        <w:t xml:space="preserve">3 موظفين على الأقل.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يستفيد منه موظفو القطاع الخاص كنظام مكمل لنظام الضمان الاجتماعي الذي يديره الصندوق الوطني للضمان الاجتماعي.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قد يهم الانخراط جميع الموظفين أو فئة متجانسة من الموظفين</w:t>
      </w:r>
    </w:p>
    <w:p w14:paraId="2C4239D0" w14:textId="77777777" w:rsidR="00160153" w:rsidRDefault="00160153" w:rsidP="00160153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03B0A055" w14:textId="77777777" w:rsidR="00160153" w:rsidRPr="00D91E73" w:rsidRDefault="00160153" w:rsidP="00160153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طريقة العمل</w:t>
      </w:r>
      <w:r>
        <w:rPr>
          <w:b/>
          <w:sz w:val="26"/>
          <w:szCs w:val="26"/>
          <w:rFonts w:asciiTheme="minorHAnsi" w:hAnsiTheme="minorHAnsi" w:hint="cs"/>
          <w:rtl/>
        </w:rPr>
        <w:t xml:space="preserve"> </w:t>
      </w:r>
    </w:p>
    <w:p w14:paraId="2A038019" w14:textId="77777777" w:rsidR="00160153" w:rsidRDefault="00C0491C" w:rsidP="00160153">
      <w:pPr>
        <w:ind w:left="567" w:right="-285"/>
        <w:jc w:val="both"/>
        <w:bidi/>
        <w:rPr>
          <w:sz w:val="26"/>
          <w:szCs w:val="26"/>
          <w:rFonts w:asciiTheme="minorHAnsi" w:hAnsiTheme="minorHAnsi" w:cstheme="minorHAnsi" w:hint="cs"/>
          <w:rtl/>
        </w:rPr>
      </w:pPr>
      <w:r>
        <w:rPr>
          <w:sz w:val="26"/>
          <w:szCs w:val="26"/>
          <w:rFonts w:asciiTheme="minorHAnsi" w:hAnsiTheme="minorHAnsi" w:hint="cs"/>
          <w:rtl/>
        </w:rPr>
        <w:t xml:space="preserve">إنه نظام مساهمات محددة، يعمل باستخدام تقنية النقاط في توزيع الرأسملة.</w:t>
      </w:r>
    </w:p>
    <w:p w14:paraId="635600CB" w14:textId="77777777" w:rsidR="00C0491C" w:rsidRPr="00160153" w:rsidRDefault="00C0491C" w:rsidP="00160153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7569510C" w14:textId="77777777" w:rsidR="00735F76" w:rsidRPr="00D91E73" w:rsidRDefault="00735F76" w:rsidP="00A37B59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معاشات مضمونة</w:t>
      </w:r>
      <w:r>
        <w:rPr>
          <w:b/>
          <w:sz w:val="26"/>
          <w:szCs w:val="26"/>
          <w:rFonts w:asciiTheme="minorHAnsi" w:hAnsiTheme="minorHAnsi" w:hint="cs"/>
          <w:rtl/>
        </w:rPr>
        <w:t xml:space="preserve"> </w:t>
      </w:r>
    </w:p>
    <w:p w14:paraId="64572960" w14:textId="57D9D755" w:rsidR="00735F76" w:rsidRPr="00210491" w:rsidRDefault="00735F76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يضمن النظام العام للصندوق المهني المغربي للتقاعد لأعضائه المزايا التالية: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(المادة </w:t>
      </w:r>
      <w:r>
        <w:rPr>
          <w:sz w:val="24"/>
          <w:szCs w:val="24"/>
          <w:rFonts w:asciiTheme="minorHAnsi" w:hAnsiTheme="minorHAnsi" w:hint="cs"/>
          <w:rtl/>
        </w:rPr>
        <w:t xml:space="preserve">13 من النظام الأساسي)</w:t>
      </w:r>
    </w:p>
    <w:p w14:paraId="5D72CD20" w14:textId="77777777" w:rsidR="00395FA6" w:rsidRPr="00210491" w:rsidRDefault="00395FA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52D1698D" w14:textId="6164C4BA" w:rsidR="00395FA6" w:rsidRPr="00210491" w:rsidRDefault="00395FA6" w:rsidP="00395FA6">
      <w:pPr>
        <w:pStyle w:val="Default"/>
        <w:ind w:left="567"/>
        <w:bidi/>
        <w:rPr>
          <w:color w:val="auto"/>
          <w:rFonts w:asciiTheme="minorHAnsi" w:eastAsia="Lucida Sans" w:hAnsiTheme="minorHAnsi" w:cstheme="majorBidi" w:hint="cs"/>
          <w:rtl/>
        </w:rPr>
      </w:pPr>
      <w:r>
        <w:rPr>
          <w:sz w:val="18"/>
          <w:szCs w:val="18"/>
          <w:rFonts w:hint="cs"/>
          <w:rtl/>
        </w:rPr>
        <w:t xml:space="preserve">-</w:t>
      </w:r>
      <w:r>
        <w:rPr>
          <w:rFonts w:hint="cs"/>
          <w:rtl/>
        </w:rPr>
        <w:t xml:space="preserve"> </w:t>
      </w:r>
      <w:r>
        <w:rPr>
          <w:color w:val="auto"/>
          <w:rFonts w:asciiTheme="minorHAnsi" w:hAnsiTheme="minorHAnsi" w:hint="cs"/>
          <w:rtl/>
        </w:rPr>
        <w:t xml:space="preserve">معاش التقاعد؛</w:t>
      </w:r>
      <w:r>
        <w:rPr>
          <w:color w:val="auto"/>
          <w:rFonts w:asciiTheme="minorHAnsi" w:hAnsiTheme="minorHAnsi" w:hint="cs"/>
          <w:rtl/>
        </w:rPr>
        <w:t xml:space="preserve"> </w:t>
      </w:r>
    </w:p>
    <w:p w14:paraId="46CB2BD3" w14:textId="77777777" w:rsidR="00395FA6" w:rsidRPr="00210491" w:rsidRDefault="00395FA6" w:rsidP="00395FA6">
      <w:pPr>
        <w:pStyle w:val="Default"/>
        <w:ind w:left="567"/>
        <w:bidi/>
        <w:rPr>
          <w:color w:val="auto"/>
          <w:rFonts w:asciiTheme="minorHAnsi" w:eastAsia="Lucida Sans" w:hAnsiTheme="minorHAnsi" w:cstheme="majorBidi" w:hint="cs"/>
          <w:rtl/>
        </w:rPr>
      </w:pPr>
      <w:r>
        <w:rPr>
          <w:color w:val="auto"/>
          <w:rFonts w:asciiTheme="minorHAnsi" w:hAnsiTheme="minorHAnsi" w:hint="cs"/>
          <w:rtl/>
        </w:rPr>
        <w:t xml:space="preserve">- معاش الأرامل؛</w:t>
      </w:r>
      <w:r>
        <w:rPr>
          <w:color w:val="auto"/>
          <w:rFonts w:asciiTheme="minorHAnsi" w:hAnsiTheme="minorHAnsi" w:hint="cs"/>
          <w:rtl/>
        </w:rPr>
        <w:t xml:space="preserve"> </w:t>
      </w:r>
    </w:p>
    <w:p w14:paraId="7B5D232D" w14:textId="77777777" w:rsidR="00395FA6" w:rsidRPr="00210491" w:rsidRDefault="00395FA6" w:rsidP="00395FA6">
      <w:pPr>
        <w:pStyle w:val="Default"/>
        <w:ind w:left="567"/>
        <w:bidi/>
        <w:rPr>
          <w:color w:val="auto"/>
          <w:rFonts w:asciiTheme="minorHAnsi" w:eastAsia="Lucida Sans" w:hAnsiTheme="minorHAnsi" w:cstheme="majorBidi" w:hint="cs"/>
          <w:rtl/>
        </w:rPr>
      </w:pPr>
      <w:r>
        <w:rPr>
          <w:color w:val="auto"/>
          <w:rFonts w:asciiTheme="minorHAnsi" w:hAnsiTheme="minorHAnsi" w:hint="cs"/>
          <w:rtl/>
        </w:rPr>
        <w:t xml:space="preserve">- معاش اليتيم؛</w:t>
      </w:r>
      <w:r>
        <w:rPr>
          <w:color w:val="auto"/>
          <w:rFonts w:asciiTheme="minorHAnsi" w:hAnsiTheme="minorHAnsi" w:hint="cs"/>
          <w:rtl/>
        </w:rPr>
        <w:t xml:space="preserve"> </w:t>
      </w:r>
    </w:p>
    <w:p w14:paraId="3F1B7A45" w14:textId="77777777" w:rsidR="00395FA6" w:rsidRPr="00210491" w:rsidRDefault="00395FA6" w:rsidP="00395FA6">
      <w:pPr>
        <w:pStyle w:val="Default"/>
        <w:ind w:left="567"/>
        <w:bidi/>
        <w:rPr>
          <w:color w:val="auto"/>
          <w:rFonts w:asciiTheme="minorHAnsi" w:eastAsia="Lucida Sans" w:hAnsiTheme="minorHAnsi" w:cstheme="majorBidi" w:hint="cs"/>
          <w:rtl/>
        </w:rPr>
      </w:pPr>
      <w:r>
        <w:rPr>
          <w:color w:val="auto"/>
          <w:rFonts w:asciiTheme="minorHAnsi" w:hAnsiTheme="minorHAnsi" w:hint="cs"/>
          <w:rtl/>
        </w:rPr>
        <w:t xml:space="preserve">- المدخرات؛</w:t>
      </w:r>
      <w:r>
        <w:rPr>
          <w:color w:val="auto"/>
          <w:rFonts w:asciiTheme="minorHAnsi" w:hAnsiTheme="minorHAnsi" w:hint="cs"/>
          <w:rtl/>
        </w:rPr>
        <w:t xml:space="preserve"> </w:t>
      </w:r>
    </w:p>
    <w:p w14:paraId="1C2E8BE6" w14:textId="77777777" w:rsidR="00395FA6" w:rsidRPr="00210491" w:rsidRDefault="00395FA6" w:rsidP="00395FA6">
      <w:pPr>
        <w:pStyle w:val="Default"/>
        <w:ind w:left="567"/>
        <w:bidi/>
        <w:rPr>
          <w:color w:val="auto"/>
          <w:rFonts w:asciiTheme="minorHAnsi" w:eastAsia="Lucida Sans" w:hAnsiTheme="minorHAnsi" w:cstheme="majorBidi" w:hint="cs"/>
          <w:rtl/>
        </w:rPr>
      </w:pPr>
      <w:r>
        <w:rPr>
          <w:color w:val="auto"/>
          <w:rFonts w:asciiTheme="minorHAnsi" w:hAnsiTheme="minorHAnsi" w:hint="cs"/>
          <w:rtl/>
        </w:rPr>
        <w:t xml:space="preserve">- رأس المال؛</w:t>
      </w:r>
      <w:r>
        <w:rPr>
          <w:color w:val="auto"/>
          <w:rFonts w:asciiTheme="minorHAnsi" w:hAnsiTheme="minorHAnsi" w:hint="cs"/>
          <w:rtl/>
        </w:rPr>
        <w:t xml:space="preserve"> </w:t>
      </w:r>
    </w:p>
    <w:p w14:paraId="40B9C06F" w14:textId="77777777" w:rsidR="00395FA6" w:rsidRPr="00210491" w:rsidRDefault="00395FA6" w:rsidP="00395FA6">
      <w:pPr>
        <w:pStyle w:val="Default"/>
        <w:ind w:left="567"/>
        <w:bidi/>
        <w:rPr>
          <w:color w:val="auto"/>
          <w:rFonts w:asciiTheme="minorHAnsi" w:eastAsia="Lucida Sans" w:hAnsiTheme="minorHAnsi" w:cstheme="majorBidi" w:hint="cs"/>
          <w:rtl/>
        </w:rPr>
      </w:pPr>
      <w:r>
        <w:rPr>
          <w:color w:val="auto"/>
          <w:rFonts w:asciiTheme="minorHAnsi" w:hAnsiTheme="minorHAnsi" w:hint="cs"/>
          <w:rtl/>
        </w:rPr>
        <w:t xml:space="preserve">- النقاط المجانية؛</w:t>
      </w:r>
      <w:r>
        <w:rPr>
          <w:color w:val="auto"/>
          <w:rFonts w:asciiTheme="minorHAnsi" w:hAnsiTheme="minorHAnsi" w:hint="cs"/>
          <w:rtl/>
        </w:rPr>
        <w:t xml:space="preserve"> </w:t>
      </w:r>
    </w:p>
    <w:p w14:paraId="18343911" w14:textId="489E7D0A" w:rsidR="00395FA6" w:rsidRPr="00210491" w:rsidRDefault="00395FA6" w:rsidP="00395FA6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18"/>
          <w:szCs w:val="18"/>
          <w:rFonts w:hint="cs"/>
          <w:rtl/>
        </w:rPr>
        <w:t xml:space="preserve">-</w:t>
      </w:r>
      <w:r>
        <w:rPr>
          <w:rFonts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رأس المال عند الموت.</w:t>
      </w:r>
    </w:p>
    <w:p w14:paraId="7EDB36FD" w14:textId="77777777" w:rsidR="00735F76" w:rsidRPr="00210491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201C677" w14:textId="77777777" w:rsidR="00735F76" w:rsidRPr="00210491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</w:rPr>
      </w:pPr>
    </w:p>
    <w:p w14:paraId="7927AF46" w14:textId="77777777" w:rsidR="00735F76" w:rsidRPr="00210491" w:rsidRDefault="00735F76" w:rsidP="00A37B59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 </w:t>
      </w:r>
      <w:r>
        <w:rPr>
          <w:b/>
          <w:sz w:val="26"/>
          <w:szCs w:val="26"/>
          <w:rFonts w:asciiTheme="minorHAnsi" w:hAnsiTheme="minorHAnsi" w:hint="cs"/>
          <w:rtl/>
        </w:rPr>
        <w:t xml:space="preserve">الموارد</w:t>
      </w:r>
    </w:p>
    <w:p w14:paraId="027C0DCA" w14:textId="77777777" w:rsidR="00735F76" w:rsidRPr="00210491" w:rsidRDefault="00735F76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تتكون موارد الصندوق بشكل أساسي من:</w:t>
      </w:r>
    </w:p>
    <w:p w14:paraId="6C29AD83" w14:textId="77777777" w:rsidR="00735F76" w:rsidRPr="00210491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5F25E1A" w14:textId="77777777" w:rsidR="00735F76" w:rsidRPr="00210491" w:rsidRDefault="00735F76" w:rsidP="00A37B59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المساهمات والاشتراكات؛</w:t>
      </w:r>
    </w:p>
    <w:p w14:paraId="0E10B808" w14:textId="40E68D92" w:rsidR="00735F76" w:rsidRPr="00210491" w:rsidRDefault="00735F76" w:rsidP="00A37B59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الفائدة على الأموال المستثمرة؛</w:t>
      </w:r>
    </w:p>
    <w:p w14:paraId="67D1E664" w14:textId="6D2E4E73" w:rsidR="00D76C06" w:rsidRPr="00210491" w:rsidRDefault="00D76C06" w:rsidP="00A37B59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جميع الموارد التي لا يحظرها القانون وبما يتوافق مع الغرض من الصندوق المهني المغربي للتقاعد.</w:t>
      </w:r>
    </w:p>
    <w:p w14:paraId="3270C14E" w14:textId="77777777" w:rsidR="00735F76" w:rsidRPr="00210491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2AB4A23B" w14:textId="77777777" w:rsidR="00C86042" w:rsidRPr="00BD0F70" w:rsidRDefault="00C86042" w:rsidP="00C86042">
      <w:pPr>
        <w:ind w:left="567" w:right="-285"/>
        <w:jc w:val="both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بالنسبة للموظفين المنخرطين في مجموعة الأشخاص الاعتباريين:</w:t>
      </w:r>
    </w:p>
    <w:p w14:paraId="6EC0838D" w14:textId="77777777" w:rsidR="00C86042" w:rsidRDefault="00C86042" w:rsidP="00C0491C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A83BB6B" w14:textId="77777777" w:rsidR="00C0491C" w:rsidRDefault="00735F76" w:rsidP="00C86042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تتكون مساهمات التقاعد العادي في الصندوق المهني المغربي للتقاعد من جزأين متساويين: جزء الراتب وجزء رب العمل.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على هذا النحو، يحق للمنخرط الاختيار بين:</w:t>
      </w:r>
    </w:p>
    <w:p w14:paraId="5AB9FA2C" w14:textId="77777777" w:rsidR="00C0491C" w:rsidRDefault="00C0491C" w:rsidP="00C0491C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2BBF3EF4" w14:textId="77777777" w:rsidR="00C0491C" w:rsidRPr="00D91E73" w:rsidRDefault="00C0491C" w:rsidP="00C0491C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نسبة مساهمة أحادية على الراتب الإجمالي يتراوح بين </w:t>
      </w:r>
      <w:r>
        <w:rPr>
          <w:sz w:val="24"/>
          <w:szCs w:val="24"/>
          <w:rFonts w:asciiTheme="minorHAnsi" w:hAnsiTheme="minorHAnsi" w:hint="cs"/>
          <w:rtl/>
        </w:rPr>
        <w:t xml:space="preserve">3% و </w:t>
      </w:r>
      <w:r>
        <w:rPr>
          <w:sz w:val="24"/>
          <w:szCs w:val="24"/>
          <w:rFonts w:asciiTheme="minorHAnsi" w:hAnsiTheme="minorHAnsi" w:hint="cs"/>
          <w:rtl/>
        </w:rPr>
        <w:t xml:space="preserve">12%؛</w:t>
      </w:r>
    </w:p>
    <w:p w14:paraId="62DEEFBB" w14:textId="77777777" w:rsidR="00C0491C" w:rsidRPr="00D91E73" w:rsidRDefault="00C0491C" w:rsidP="00C0491C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نسبة مساهمة مخفضة على قسط الصندوق الوطني للضمان الاجتماعي، يتم تحديدها حسب اختيار المنخرط.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1D9FB1A7" w14:textId="77777777" w:rsidR="00C0491C" w:rsidRDefault="00C0491C" w:rsidP="00C0491C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26F098B" w14:textId="77777777" w:rsidR="00735F76" w:rsidRPr="00C0491C" w:rsidRDefault="00735F76" w:rsidP="00C0491C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بالإضافة إلى نصيب رب العمل، يدفع أرباب العمل مساهمة غير مولدة للحقوق تعادل </w:t>
      </w:r>
      <w:r>
        <w:rPr>
          <w:sz w:val="24"/>
          <w:szCs w:val="24"/>
          <w:rFonts w:asciiTheme="minorHAnsi" w:hAnsiTheme="minorHAnsi" w:hint="cs"/>
          <w:rtl/>
        </w:rPr>
        <w:t xml:space="preserve">30% من المساهمة الأساسية.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48CDE3F9" w14:textId="77777777" w:rsidR="00D91E73" w:rsidRPr="00C0491C" w:rsidRDefault="00D91E73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DAFB66E" w14:textId="77777777" w:rsidR="00C86042" w:rsidRPr="00BD0F70" w:rsidRDefault="00C86042" w:rsidP="00C86042">
      <w:pPr>
        <w:ind w:left="567" w:right="-285"/>
        <w:jc w:val="both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للفئات الأخرى:</w:t>
      </w:r>
    </w:p>
    <w:p w14:paraId="78F64DCF" w14:textId="77777777" w:rsidR="00735F76" w:rsidRDefault="00735F76" w:rsidP="00A37B59">
      <w:pPr>
        <w:ind w:left="567" w:right="-285"/>
        <w:jc w:val="both"/>
        <w:rPr>
          <w:rFonts w:asciiTheme="minorHAnsi" w:hAnsiTheme="minorHAnsi" w:cstheme="majorBidi"/>
          <w:lang w:val="fr-FR"/>
        </w:rPr>
      </w:pPr>
    </w:p>
    <w:p w14:paraId="1C13F2B7" w14:textId="77777777" w:rsidR="00C86042" w:rsidRDefault="00C86042" w:rsidP="00A37B59">
      <w:pPr>
        <w:ind w:left="567" w:right="-285"/>
        <w:jc w:val="both"/>
        <w:bidi/>
        <w:rPr>
          <w:rFonts w:asciiTheme="minorHAnsi" w:hAnsiTheme="minorHAnsi" w:cstheme="majorBidi" w:hint="cs"/>
          <w:rtl/>
        </w:rPr>
      </w:pPr>
      <w:r>
        <w:rPr>
          <w:rFonts w:asciiTheme="minorHAnsi" w:hAnsiTheme="minorHAnsi" w:hint="cs"/>
          <w:rtl/>
        </w:rPr>
        <w:t xml:space="preserve">المساهمات هي ثابتة</w:t>
      </w:r>
    </w:p>
    <w:p w14:paraId="44531B57" w14:textId="77777777" w:rsidR="00C86042" w:rsidRPr="00D91E73" w:rsidRDefault="00C86042" w:rsidP="00A37B59">
      <w:pPr>
        <w:ind w:left="567" w:right="-285"/>
        <w:jc w:val="both"/>
        <w:rPr>
          <w:rFonts w:asciiTheme="minorHAnsi" w:hAnsiTheme="minorHAnsi" w:cstheme="majorBidi"/>
          <w:lang w:val="fr-FR"/>
        </w:rPr>
      </w:pPr>
    </w:p>
    <w:p w14:paraId="434CAFAC" w14:textId="77777777" w:rsidR="00735F76" w:rsidRPr="00D91E73" w:rsidRDefault="00735F76" w:rsidP="00A37B59">
      <w:pPr>
        <w:spacing w:after="240"/>
        <w:ind w:left="-425" w:right="-284" w:firstLine="992"/>
        <w:jc w:val="both"/>
        <w:bidi/>
        <w:rPr>
          <w:b/>
          <w:sz w:val="26"/>
          <w:szCs w:val="26"/>
          <w:rFonts w:asciiTheme="minorHAnsi" w:hAnsiTheme="minorHAnsi" w:cstheme="majorBidi" w:hint="cs"/>
          <w:rtl/>
        </w:rPr>
      </w:pPr>
      <w:r>
        <w:rPr>
          <w:b/>
          <w:sz w:val="26"/>
          <w:szCs w:val="26"/>
          <w:rFonts w:asciiTheme="minorHAnsi" w:hAnsiTheme="minorHAnsi" w:hint="cs"/>
          <w:rtl/>
        </w:rPr>
        <w:t xml:space="preserve">طرق الحصول على حقوق التقاعد</w:t>
      </w:r>
    </w:p>
    <w:p w14:paraId="6FFC35DE" w14:textId="77777777" w:rsidR="00735F76" w:rsidRPr="00ED7003" w:rsidRDefault="00735F76" w:rsidP="00A37B59">
      <w:pPr>
        <w:ind w:left="1287" w:right="-285" w:firstLine="153"/>
        <w:jc w:val="both"/>
        <w:bidi/>
        <w:rPr>
          <w:b/>
          <w:bCs/>
          <w:sz w:val="24"/>
          <w:szCs w:val="24"/>
          <w:u w:val="single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سن التقاعد:</w:t>
      </w:r>
    </w:p>
    <w:p w14:paraId="39AB846E" w14:textId="77777777" w:rsidR="00735F76" w:rsidRPr="00D91E73" w:rsidRDefault="00735F76" w:rsidP="00A37B59">
      <w:pPr>
        <w:ind w:left="567" w:right="-285"/>
        <w:jc w:val="both"/>
        <w:rPr>
          <w:rFonts w:asciiTheme="minorHAnsi" w:hAnsiTheme="minorHAnsi" w:cstheme="majorBidi"/>
          <w:lang w:val="fr-FR"/>
        </w:rPr>
      </w:pPr>
    </w:p>
    <w:p w14:paraId="04043054" w14:textId="77777777" w:rsidR="00735F76" w:rsidRPr="00D91E73" w:rsidRDefault="00735F76" w:rsidP="00ED7003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يحدد نظام الصندوق المهني المغربي للتقاعد بداية التقاعد عند سن </w:t>
      </w:r>
      <w:r>
        <w:rPr>
          <w:sz w:val="24"/>
          <w:szCs w:val="24"/>
          <w:rFonts w:asciiTheme="minorHAnsi" w:hAnsiTheme="minorHAnsi" w:hint="cs"/>
          <w:rtl/>
        </w:rPr>
        <w:t xml:space="preserve">60 عامًا مع إمكانية التقاعد المبكر في سن </w:t>
      </w:r>
      <w:r>
        <w:rPr>
          <w:sz w:val="24"/>
          <w:szCs w:val="24"/>
          <w:rFonts w:asciiTheme="minorHAnsi" w:hAnsiTheme="minorHAnsi" w:hint="cs"/>
          <w:rtl/>
        </w:rPr>
        <w:t xml:space="preserve">50 عامًا من خلال تطبيق تخفيف، أو يمكن تأجيله إلى </w:t>
      </w:r>
      <w:r>
        <w:rPr>
          <w:sz w:val="24"/>
          <w:szCs w:val="24"/>
          <w:rFonts w:asciiTheme="minorHAnsi" w:hAnsiTheme="minorHAnsi" w:hint="cs"/>
          <w:rtl/>
        </w:rPr>
        <w:t xml:space="preserve">65 عامًا مع تطبيق معدلات الزيادة.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2FBEBB1E" w14:textId="77777777" w:rsidR="00735F76" w:rsidRPr="00D91E73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431D3501" w14:textId="77777777" w:rsidR="00735F76" w:rsidRPr="00D91E73" w:rsidRDefault="00735F76" w:rsidP="00A37B59">
      <w:pPr>
        <w:ind w:left="1287" w:right="-285" w:firstLine="153"/>
        <w:jc w:val="both"/>
        <w:bidi/>
        <w:rPr>
          <w:b/>
          <w:bCs/>
          <w:sz w:val="24"/>
          <w:szCs w:val="24"/>
          <w:u w:val="single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حساب المعاش:</w:t>
      </w:r>
    </w:p>
    <w:p w14:paraId="52874FAA" w14:textId="77777777" w:rsidR="00735F76" w:rsidRPr="00D91E73" w:rsidRDefault="00735F76" w:rsidP="00A37B59">
      <w:pPr>
        <w:ind w:left="567" w:right="-285"/>
        <w:jc w:val="both"/>
        <w:rPr>
          <w:rFonts w:asciiTheme="minorHAnsi" w:hAnsiTheme="minorHAnsi" w:cstheme="majorBidi"/>
          <w:lang w:val="fr-FR"/>
        </w:rPr>
      </w:pPr>
    </w:p>
    <w:p w14:paraId="2C08009B" w14:textId="77777777" w:rsidR="00AF3A95" w:rsidRPr="00E73577" w:rsidRDefault="00E73577" w:rsidP="00E73577">
      <w:pPr>
        <w:pStyle w:val="Paragraphedeliste"/>
        <w:numPr>
          <w:ilvl w:val="0"/>
          <w:numId w:val="20"/>
        </w:numPr>
        <w:ind w:right="-285"/>
        <w:jc w:val="both"/>
        <w:bidi/>
        <w:rPr>
          <w:b/>
          <w:bCs/>
          <w:sz w:val="24"/>
          <w:szCs w:val="24"/>
          <w:u w:val="single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اكتساب النقاط</w:t>
      </w:r>
    </w:p>
    <w:p w14:paraId="4A0BF79A" w14:textId="77777777" w:rsidR="00AF3A95" w:rsidRDefault="00AF3A95" w:rsidP="00ED7003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482698C0" w14:textId="77777777" w:rsidR="00735F76" w:rsidRPr="00D91E73" w:rsidRDefault="00735F76" w:rsidP="00ED7003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يتم تحويل مساهمات الموظفين وأرباب العمل المدفوعة سنويًا إلى نقاط (ن) وفقًا للصيغ التالية:</w:t>
      </w:r>
    </w:p>
    <w:p w14:paraId="0BBED45F" w14:textId="77777777" w:rsidR="00735F76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32E5F317" w14:textId="77777777" w:rsidR="00ED7003" w:rsidRPr="00BD0F70" w:rsidRDefault="00ED7003" w:rsidP="00ED7003">
      <w:pPr>
        <w:ind w:left="567" w:right="-285"/>
        <w:jc w:val="both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بالنسبة للموظفين المنخرطين في مجموعة الأشخاص الاعتباريين:</w:t>
      </w:r>
    </w:p>
    <w:p w14:paraId="3AAB8422" w14:textId="77777777" w:rsidR="00ED7003" w:rsidRPr="00D91E73" w:rsidRDefault="00ED7003" w:rsidP="00ED7003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0F8F0D4" w14:textId="77777777" w:rsidR="00735F76" w:rsidRPr="00D91E73" w:rsidRDefault="00735F76" w:rsidP="00E73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85"/>
        <w:jc w:val="center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ن = </w:t>
      </w: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0.1667 </w:t>
      </w:r>
      <w:r>
        <w:rPr>
          <w:b/>
          <w:bCs/>
          <w:sz w:val="24"/>
          <w:szCs w:val="24"/>
          <w:rFonts w:asciiTheme="minorHAnsi" w:hAnsiTheme="minorHAnsi"/>
        </w:rPr>
        <w:t xml:space="preserve">x</w:t>
      </w: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 (مساهمة رب العمل + مساهمة الموظف) / الراتب المرجعي</w:t>
      </w:r>
    </w:p>
    <w:p w14:paraId="493BE51C" w14:textId="77777777" w:rsidR="00735F76" w:rsidRPr="00D91E73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9D132D3" w14:textId="77777777" w:rsidR="00735F76" w:rsidRPr="00D91E73" w:rsidRDefault="00735F76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يتغير الراتب المرجعي (ر م) كل عام وفقًا لتطور متوسط الراتب في النظام.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09977F5B" w14:textId="77777777" w:rsidR="00BD0F70" w:rsidRDefault="00BD0F70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3FD6A1A" w14:textId="77777777" w:rsidR="00BD0F70" w:rsidRPr="00BD0F70" w:rsidRDefault="00BD0F70" w:rsidP="00A37B59">
      <w:pPr>
        <w:ind w:left="567" w:right="-285"/>
        <w:jc w:val="both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بالنسبة للفئات الأخرى:</w:t>
      </w:r>
    </w:p>
    <w:p w14:paraId="7BDC2914" w14:textId="77777777" w:rsidR="00BD0F70" w:rsidRDefault="00BD0F70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4820E8F7" w14:textId="77777777" w:rsidR="00C86042" w:rsidRDefault="00C86042" w:rsidP="00E73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85"/>
        <w:jc w:val="center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ن = المساهمة الثابتة / (ر م * م ع)</w:t>
      </w:r>
    </w:p>
    <w:p w14:paraId="31961995" w14:textId="77777777" w:rsidR="00E73577" w:rsidRDefault="00E73577" w:rsidP="00AF3A95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6603867" w14:textId="77777777" w:rsidR="00BD0F70" w:rsidRPr="00C86042" w:rsidRDefault="00C86042" w:rsidP="00AF3A95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حيث </w:t>
      </w:r>
      <w:r>
        <w:rPr>
          <w:sz w:val="24"/>
          <w:szCs w:val="24"/>
          <w:b/>
          <w:bCs/>
          <w:rFonts w:asciiTheme="minorHAnsi" w:hAnsiTheme="minorHAnsi" w:hint="cs"/>
          <w:rtl/>
        </w:rPr>
        <w:t xml:space="preserve">يمثل م ع</w:t>
      </w:r>
      <w:r>
        <w:rPr>
          <w:sz w:val="24"/>
          <w:szCs w:val="24"/>
          <w:rFonts w:asciiTheme="minorHAnsi" w:hAnsiTheme="minorHAnsi" w:hint="cs"/>
          <w:rtl/>
        </w:rPr>
        <w:t xml:space="preserve"> معامل عمر المنخرط في وقت دفع المساهمة الثابتة.</w:t>
      </w:r>
    </w:p>
    <w:p w14:paraId="1460A801" w14:textId="77777777" w:rsidR="00C86042" w:rsidRDefault="00C86042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5B19E702" w14:textId="77777777" w:rsidR="00AF3A95" w:rsidRPr="00E73577" w:rsidRDefault="00AF3A95" w:rsidP="00E73577">
      <w:pPr>
        <w:pStyle w:val="Paragraphedeliste"/>
        <w:numPr>
          <w:ilvl w:val="0"/>
          <w:numId w:val="20"/>
        </w:numPr>
        <w:ind w:right="-285"/>
        <w:jc w:val="both"/>
        <w:bidi/>
        <w:rPr>
          <w:b/>
          <w:bCs/>
          <w:sz w:val="24"/>
          <w:szCs w:val="24"/>
          <w:u w:val="single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التصفية</w:t>
      </w:r>
    </w:p>
    <w:p w14:paraId="0BC01DDB" w14:textId="77777777" w:rsidR="00AF3A95" w:rsidRDefault="00AF3A95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4462423" w14:textId="77777777" w:rsidR="00E73577" w:rsidRDefault="00E73577" w:rsidP="00E73577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يأخذ مبلغ المعاش في الاعتبار عدد النقاط المكتسبة بين تاريخ الانخراط وتاريخ التقاعد.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يتم احتساب هذا المعاش وفق الصيغة التالية:</w:t>
      </w:r>
    </w:p>
    <w:p w14:paraId="71E53ACA" w14:textId="77777777" w:rsidR="00E73577" w:rsidRDefault="00E73577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020D3CB1" w14:textId="77777777" w:rsidR="00E73577" w:rsidRPr="00D91E73" w:rsidRDefault="00E73577" w:rsidP="00E73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-285"/>
        <w:jc w:val="center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المعاش = عدد النقاط في الخدمة </w:t>
      </w:r>
      <w:r>
        <w:rPr>
          <w:b/>
          <w:bCs/>
          <w:sz w:val="24"/>
          <w:szCs w:val="24"/>
          <w:rFonts w:asciiTheme="minorHAnsi" w:hAnsiTheme="minorHAnsi"/>
        </w:rPr>
        <w:t xml:space="preserve">x</w:t>
      </w:r>
      <w:r>
        <w:rPr>
          <w:b/>
          <w:bCs/>
          <w:sz w:val="24"/>
          <w:szCs w:val="24"/>
          <w:rFonts w:asciiTheme="minorHAnsi" w:hAnsiTheme="minorHAnsi" w:hint="cs"/>
          <w:rtl/>
        </w:rPr>
        <w:t xml:space="preserve"> ق ن خ</w:t>
      </w:r>
    </w:p>
    <w:p w14:paraId="50DDF597" w14:textId="77777777" w:rsidR="00E73577" w:rsidRDefault="00E73577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E2390E6" w14:textId="77777777" w:rsidR="00E73577" w:rsidRDefault="00E73577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حيث </w:t>
      </w:r>
      <w:r>
        <w:rPr>
          <w:sz w:val="24"/>
          <w:szCs w:val="24"/>
          <w:b/>
          <w:bCs/>
          <w:rFonts w:asciiTheme="minorHAnsi" w:hAnsiTheme="minorHAnsi" w:hint="cs"/>
          <w:rtl/>
        </w:rPr>
        <w:t xml:space="preserve">ق ن خ</w:t>
      </w:r>
      <w:r>
        <w:rPr>
          <w:sz w:val="24"/>
          <w:szCs w:val="24"/>
          <w:rFonts w:asciiTheme="minorHAnsi" w:hAnsiTheme="minorHAnsi" w:hint="cs"/>
          <w:rtl/>
        </w:rPr>
        <w:t xml:space="preserve"> هي قيمة النقطة في الخدمة</w:t>
      </w:r>
    </w:p>
    <w:p w14:paraId="657ABFBD" w14:textId="77777777" w:rsidR="00E73577" w:rsidRDefault="00E73577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311A9CFD" w14:textId="77777777" w:rsidR="00E73577" w:rsidRPr="00D91E73" w:rsidRDefault="00E73577" w:rsidP="00E73577">
      <w:pPr>
        <w:ind w:left="567" w:right="-285"/>
        <w:jc w:val="both"/>
        <w:bidi/>
        <w:rPr>
          <w:b/>
          <w:bCs/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و</w:t>
      </w:r>
      <w:r>
        <w:rPr>
          <w:sz w:val="24"/>
          <w:szCs w:val="24"/>
          <w:b/>
          <w:bCs/>
          <w:rFonts w:asciiTheme="minorHAnsi" w:hAnsiTheme="minorHAnsi" w:hint="cs"/>
          <w:rtl/>
        </w:rPr>
        <w:t xml:space="preserve">عدد النقاط في الخدمة = عدد النقاط المكتسبة </w:t>
      </w:r>
      <w:r>
        <w:rPr>
          <w:sz w:val="24"/>
          <w:szCs w:val="24"/>
          <w:b/>
          <w:bCs/>
          <w:rFonts w:asciiTheme="minorHAnsi" w:hAnsiTheme="minorHAnsi"/>
        </w:rPr>
        <w:t xml:space="preserve">x</w:t>
      </w:r>
      <w:r>
        <w:rPr>
          <w:sz w:val="24"/>
          <w:szCs w:val="24"/>
          <w:b/>
          <w:bCs/>
          <w:rFonts w:asciiTheme="minorHAnsi" w:hAnsiTheme="minorHAnsi" w:hint="cs"/>
          <w:rtl/>
        </w:rPr>
        <w:t xml:space="preserve"> ق ن ت / ق ن خ</w:t>
      </w:r>
    </w:p>
    <w:p w14:paraId="65055BE4" w14:textId="77777777" w:rsidR="00E73577" w:rsidRDefault="00E73577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9A32CB2" w14:textId="77777777" w:rsidR="00735F76" w:rsidRPr="00D91E73" w:rsidRDefault="00735F76" w:rsidP="009C105B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تتغير أيضًا قيمة النقطة عند التصفية (ق ن ت) وفقًا لتطور الراتب المرجعي.</w:t>
      </w:r>
    </w:p>
    <w:p w14:paraId="241A278D" w14:textId="77777777" w:rsidR="00735F76" w:rsidRPr="00D91E73" w:rsidRDefault="00735F76" w:rsidP="00C93075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1A6C0911" w14:textId="77777777" w:rsidR="00735F76" w:rsidRPr="00D91E73" w:rsidRDefault="00735F76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ينص نظام الصندوق المهني المغربي للتقاعد على طريقتين لتصفية الحقوق:</w:t>
      </w:r>
    </w:p>
    <w:p w14:paraId="3DA49789" w14:textId="77777777" w:rsidR="00735F76" w:rsidRPr="00D91E73" w:rsidRDefault="00735F76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E562BBF" w14:textId="77777777" w:rsidR="00735F76" w:rsidRPr="00D91E73" w:rsidRDefault="005B45F5" w:rsidP="005B45F5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خيار "رأس المال": في هذه الحالة، يتم دفع رأس مال محسوب على أساس </w:t>
      </w:r>
      <w:r>
        <w:rPr>
          <w:sz w:val="24"/>
          <w:szCs w:val="24"/>
          <w:rFonts w:asciiTheme="minorHAnsi" w:hAnsiTheme="minorHAnsi" w:hint="cs"/>
          <w:rtl/>
        </w:rPr>
        <w:t xml:space="preserve">50% من المساهمات المدفوعة ومعاشًا تقاعديًا محددًا على أساس </w:t>
      </w:r>
      <w:r>
        <w:rPr>
          <w:sz w:val="24"/>
          <w:szCs w:val="24"/>
          <w:rFonts w:asciiTheme="minorHAnsi" w:hAnsiTheme="minorHAnsi" w:hint="cs"/>
          <w:rtl/>
        </w:rPr>
        <w:t xml:space="preserve">50% من النقاط المكتسبة؛</w:t>
      </w:r>
    </w:p>
    <w:p w14:paraId="7AD93B70" w14:textId="77777777" w:rsidR="00735F76" w:rsidRPr="00D91E73" w:rsidRDefault="00735F76" w:rsidP="00A37B59">
      <w:pPr>
        <w:ind w:left="567" w:right="-285" w:firstLine="284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7ACA3E08" w14:textId="77777777" w:rsidR="00735F76" w:rsidRPr="00D91E73" w:rsidRDefault="005B45F5" w:rsidP="005B45F5">
      <w:pPr>
        <w:widowControl/>
        <w:numPr>
          <w:ilvl w:val="0"/>
          <w:numId w:val="18"/>
        </w:numPr>
        <w:ind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خيار "الدخل": يتم حساب المعاش بعد ذلك على أساس جميع النقاط المكتسبة.</w:t>
      </w:r>
    </w:p>
    <w:p w14:paraId="3BBAACF9" w14:textId="77777777" w:rsidR="009177EB" w:rsidRPr="00D91E73" w:rsidRDefault="009177EB" w:rsidP="00A37B59">
      <w:pPr>
        <w:pStyle w:val="Paragraphedeliste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038A8DE0" w14:textId="77777777" w:rsidR="009177EB" w:rsidRPr="00D91E73" w:rsidRDefault="009177EB" w:rsidP="00A37B59">
      <w:pPr>
        <w:ind w:left="1287" w:right="-285" w:firstLine="153"/>
        <w:jc w:val="both"/>
        <w:bidi/>
        <w:rPr>
          <w:b/>
          <w:bCs/>
          <w:sz w:val="24"/>
          <w:szCs w:val="24"/>
          <w:u w:val="single"/>
          <w:rFonts w:asciiTheme="minorHAnsi" w:hAnsiTheme="minorHAnsi" w:cstheme="majorBid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التوريث:</w:t>
      </w:r>
    </w:p>
    <w:p w14:paraId="75716D70" w14:textId="77777777" w:rsidR="009177EB" w:rsidRPr="00D91E73" w:rsidRDefault="009177EB" w:rsidP="00A37B59">
      <w:pPr>
        <w:ind w:left="567" w:right="-285"/>
        <w:jc w:val="both"/>
        <w:rPr>
          <w:rFonts w:asciiTheme="minorHAnsi" w:hAnsiTheme="minorHAnsi" w:cstheme="majorBidi"/>
          <w:b/>
          <w:bCs/>
          <w:u w:val="single"/>
          <w:lang w:val="fr-FR"/>
        </w:rPr>
      </w:pPr>
    </w:p>
    <w:p w14:paraId="1B806231" w14:textId="77777777" w:rsidR="009177EB" w:rsidRPr="00D91E73" w:rsidRDefault="009177EB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تؤدي وفاة المتقاعد أو الشخص النشط، الذي لا يقل انخراطه عن </w:t>
      </w:r>
      <w:r>
        <w:rPr>
          <w:sz w:val="24"/>
          <w:szCs w:val="24"/>
          <w:rFonts w:asciiTheme="minorHAnsi" w:hAnsiTheme="minorHAnsi" w:hint="cs"/>
          <w:rtl/>
        </w:rPr>
        <w:t xml:space="preserve">5 سنوات، إلى تقديم معاش الأرامل محسوب على أساس نصف عدد النقاط التي حصل عليها المتوفى.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يُدفع هذا المعاش من سن التقاعد العادي (</w:t>
      </w:r>
      <w:r>
        <w:rPr>
          <w:sz w:val="24"/>
          <w:szCs w:val="24"/>
          <w:rFonts w:asciiTheme="minorHAnsi" w:hAnsiTheme="minorHAnsi" w:hint="cs"/>
          <w:rtl/>
        </w:rPr>
        <w:t xml:space="preserve">60 سنة) إذا كان من الذكور، وقبل </w:t>
      </w:r>
      <w:r>
        <w:rPr>
          <w:sz w:val="24"/>
          <w:szCs w:val="24"/>
          <w:rFonts w:asciiTheme="minorHAnsi" w:hAnsiTheme="minorHAnsi" w:hint="cs"/>
          <w:rtl/>
        </w:rPr>
        <w:t xml:space="preserve">10 سنوات إذا كان من الإناث.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لكن يُدفع هذا المعاش على الفور للأزواج الذي لديهم طفل قاصر يتكفلون به.</w:t>
      </w:r>
    </w:p>
    <w:p w14:paraId="2743B90F" w14:textId="77777777" w:rsidR="009177EB" w:rsidRPr="00D91E73" w:rsidRDefault="009177EB" w:rsidP="00A37B59">
      <w:pPr>
        <w:ind w:left="567" w:right="-285"/>
        <w:jc w:val="both"/>
        <w:rPr>
          <w:rFonts w:asciiTheme="minorHAnsi" w:hAnsiTheme="minorHAnsi" w:cstheme="majorBidi"/>
          <w:sz w:val="24"/>
          <w:szCs w:val="24"/>
          <w:lang w:val="fr-FR"/>
        </w:rPr>
      </w:pPr>
    </w:p>
    <w:p w14:paraId="6C1F4452" w14:textId="77777777" w:rsidR="009177EB" w:rsidRPr="00D91E73" w:rsidRDefault="009177EB" w:rsidP="00A37B59">
      <w:pPr>
        <w:ind w:left="567" w:right="-285"/>
        <w:jc w:val="both"/>
        <w:bidi/>
        <w:rPr>
          <w:sz w:val="24"/>
          <w:szCs w:val="24"/>
          <w:rFonts w:asciiTheme="minorHAnsi" w:hAnsiTheme="minorHAnsi" w:cstheme="majorBid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يحصل كل واحد من الأيتام على معاش تقاعدي محسوب على أساس </w:t>
      </w:r>
      <w:r>
        <w:rPr>
          <w:sz w:val="24"/>
          <w:szCs w:val="24"/>
          <w:rFonts w:asciiTheme="minorHAnsi" w:hAnsiTheme="minorHAnsi" w:hint="cs"/>
          <w:rtl/>
        </w:rPr>
        <w:t xml:space="preserve">1/5 من النقاط التي حصل عليها المتوفى حتى بلوغهم سن الرشد.</w:t>
      </w:r>
    </w:p>
    <w:sectPr w:rsidR="009177EB" w:rsidRPr="00D91E73" w:rsidSect="00502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0" w:right="1680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F4B4" w14:textId="77777777" w:rsidR="00AF6A6D" w:rsidRDefault="00AF6A6D" w:rsidP="00F545AF">
      <w:r>
        <w:separator/>
      </w:r>
    </w:p>
  </w:endnote>
  <w:endnote w:type="continuationSeparator" w:id="0">
    <w:p w14:paraId="4034679D" w14:textId="77777777" w:rsidR="00AF6A6D" w:rsidRDefault="00AF6A6D" w:rsidP="00F5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65AC" w14:textId="77777777" w:rsidR="00F545AF" w:rsidRDefault="00F545A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431666"/>
      <w:docPartObj>
        <w:docPartGallery w:val="Page Numbers (Bottom of Page)"/>
        <w:docPartUnique/>
      </w:docPartObj>
    </w:sdtPr>
    <w:sdtEndPr/>
    <w:sdtContent>
      <w:p>
        <w:pPr>
          <w:pStyle w:val="Pieddepage"/>
          <w:jc w:val="center"/>
          <w:bidi/>
          <w:rPr>
            <w:rFonts w:hint="cs"/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="00210491" w:rsidRPr="00210491">
          <w:rPr>
            <w:rFonts w:hint="cs"/>
            <w:rtl/>
          </w:rPr>
          <w:t>2</w:t>
        </w:r>
        <w:r>
          <w:fldChar w:fldCharType="end"/>
        </w:r>
      </w:p>
    </w:sdtContent>
  </w:sdt>
  <w:p w14:paraId="26B4E3AF" w14:textId="77777777" w:rsidR="00F545AF" w:rsidRDefault="00F545A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A33A" w14:textId="77777777" w:rsidR="00F545AF" w:rsidRDefault="00F545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DF31E" w14:textId="77777777" w:rsidR="00AF6A6D" w:rsidRDefault="00AF6A6D" w:rsidP="00F545AF">
      <w:r>
        <w:separator/>
      </w:r>
    </w:p>
  </w:footnote>
  <w:footnote w:type="continuationSeparator" w:id="0">
    <w:p w14:paraId="02EC11B3" w14:textId="77777777" w:rsidR="00AF6A6D" w:rsidRDefault="00AF6A6D" w:rsidP="00F5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FF080" w14:textId="77777777" w:rsidR="00F545AF" w:rsidRDefault="00F545A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F4F53" w14:textId="77777777" w:rsidR="00F545AF" w:rsidRDefault="00F545A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226F0" w14:textId="77777777" w:rsidR="00F545AF" w:rsidRDefault="00F545A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D96"/>
    <w:multiLevelType w:val="multilevel"/>
    <w:tmpl w:val="DFDC7B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4"/>
      <w:numFmt w:val="decimal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932BC"/>
    <w:multiLevelType w:val="hybridMultilevel"/>
    <w:tmpl w:val="2DE292FC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9037CE"/>
    <w:multiLevelType w:val="hybridMultilevel"/>
    <w:tmpl w:val="535EC0DC"/>
    <w:lvl w:ilvl="0" w:tplc="746CB448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b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01679C"/>
    <w:multiLevelType w:val="hybridMultilevel"/>
    <w:tmpl w:val="3750764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AE75EC8"/>
    <w:multiLevelType w:val="hybridMultilevel"/>
    <w:tmpl w:val="F70ADC68"/>
    <w:lvl w:ilvl="0" w:tplc="746CB448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b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6B3172"/>
    <w:multiLevelType w:val="hybridMultilevel"/>
    <w:tmpl w:val="3B0217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3C6F3169"/>
    <w:multiLevelType w:val="multilevel"/>
    <w:tmpl w:val="9676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31F3F"/>
    <w:multiLevelType w:val="hybridMultilevel"/>
    <w:tmpl w:val="DF205DF4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36121F5"/>
    <w:multiLevelType w:val="hybridMultilevel"/>
    <w:tmpl w:val="BE5EA94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1C69FF"/>
    <w:multiLevelType w:val="hybridMultilevel"/>
    <w:tmpl w:val="841A827C"/>
    <w:lvl w:ilvl="0" w:tplc="2C9000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bCs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50EA6BCC"/>
    <w:multiLevelType w:val="hybridMultilevel"/>
    <w:tmpl w:val="7E8C1FD8"/>
    <w:lvl w:ilvl="0" w:tplc="040C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42F632E"/>
    <w:multiLevelType w:val="hybridMultilevel"/>
    <w:tmpl w:val="51464574"/>
    <w:lvl w:ilvl="0" w:tplc="746CB448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b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588033D"/>
    <w:multiLevelType w:val="hybridMultilevel"/>
    <w:tmpl w:val="94002934"/>
    <w:lvl w:ilvl="0" w:tplc="81AE556C">
      <w:numFmt w:val="bullet"/>
      <w:lvlText w:val="-"/>
      <w:lvlJc w:val="left"/>
      <w:pPr>
        <w:ind w:left="927" w:hanging="360"/>
      </w:pPr>
      <w:rPr>
        <w:rFonts w:ascii="Calibri" w:eastAsia="Lucida Sans" w:hAnsi="Calibr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7313F70"/>
    <w:multiLevelType w:val="multilevel"/>
    <w:tmpl w:val="F99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C3AB8"/>
    <w:multiLevelType w:val="hybridMultilevel"/>
    <w:tmpl w:val="DD1C1E4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378ACBE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cs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8E30A0C"/>
    <w:multiLevelType w:val="hybridMultilevel"/>
    <w:tmpl w:val="4BAA3E4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74C32557"/>
    <w:multiLevelType w:val="hybridMultilevel"/>
    <w:tmpl w:val="8D4C2F0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74D43C91"/>
    <w:multiLevelType w:val="hybridMultilevel"/>
    <w:tmpl w:val="233C1EA6"/>
    <w:lvl w:ilvl="0" w:tplc="93909896">
      <w:start w:val="2"/>
      <w:numFmt w:val="bullet"/>
      <w:lvlText w:val="-"/>
      <w:lvlJc w:val="left"/>
      <w:pPr>
        <w:ind w:left="212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8">
    <w:nsid w:val="7F037102"/>
    <w:multiLevelType w:val="hybridMultilevel"/>
    <w:tmpl w:val="48068E46"/>
    <w:lvl w:ilvl="0" w:tplc="040C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7F9F3E8F"/>
    <w:multiLevelType w:val="multilevel"/>
    <w:tmpl w:val="608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19"/>
  </w:num>
  <w:num w:numId="13">
    <w:abstractNumId w:val="6"/>
  </w:num>
  <w:num w:numId="14">
    <w:abstractNumId w:val="8"/>
  </w:num>
  <w:num w:numId="15">
    <w:abstractNumId w:val="4"/>
  </w:num>
  <w:num w:numId="16">
    <w:abstractNumId w:val="11"/>
  </w:num>
  <w:num w:numId="17">
    <w:abstractNumId w:val="2"/>
  </w:num>
  <w:num w:numId="18">
    <w:abstractNumId w:val="18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20"/>
    <w:rsid w:val="000223A2"/>
    <w:rsid w:val="00034361"/>
    <w:rsid w:val="00071951"/>
    <w:rsid w:val="00073C9A"/>
    <w:rsid w:val="000D322F"/>
    <w:rsid w:val="00126AAA"/>
    <w:rsid w:val="0015204E"/>
    <w:rsid w:val="00160153"/>
    <w:rsid w:val="00170B76"/>
    <w:rsid w:val="00192416"/>
    <w:rsid w:val="001E1801"/>
    <w:rsid w:val="00210491"/>
    <w:rsid w:val="002319EC"/>
    <w:rsid w:val="00283FC8"/>
    <w:rsid w:val="002B4E33"/>
    <w:rsid w:val="002B5957"/>
    <w:rsid w:val="002E13CC"/>
    <w:rsid w:val="002E239A"/>
    <w:rsid w:val="002E4B9E"/>
    <w:rsid w:val="002F32F4"/>
    <w:rsid w:val="00324294"/>
    <w:rsid w:val="00335313"/>
    <w:rsid w:val="00342098"/>
    <w:rsid w:val="003630A0"/>
    <w:rsid w:val="00374764"/>
    <w:rsid w:val="00390F8E"/>
    <w:rsid w:val="00395FA6"/>
    <w:rsid w:val="003B0050"/>
    <w:rsid w:val="003C6EDA"/>
    <w:rsid w:val="003E0AC2"/>
    <w:rsid w:val="0045540E"/>
    <w:rsid w:val="004C38D4"/>
    <w:rsid w:val="00502A5A"/>
    <w:rsid w:val="00557A8D"/>
    <w:rsid w:val="00590CBC"/>
    <w:rsid w:val="005B45F5"/>
    <w:rsid w:val="0062794A"/>
    <w:rsid w:val="006756F4"/>
    <w:rsid w:val="006814BE"/>
    <w:rsid w:val="006A089A"/>
    <w:rsid w:val="006D1F9A"/>
    <w:rsid w:val="006F27F8"/>
    <w:rsid w:val="0071706C"/>
    <w:rsid w:val="00735F76"/>
    <w:rsid w:val="00743620"/>
    <w:rsid w:val="0076450A"/>
    <w:rsid w:val="007A3950"/>
    <w:rsid w:val="007E4BB0"/>
    <w:rsid w:val="00800102"/>
    <w:rsid w:val="00811DD2"/>
    <w:rsid w:val="008350EF"/>
    <w:rsid w:val="009101FF"/>
    <w:rsid w:val="00912D3C"/>
    <w:rsid w:val="009177EB"/>
    <w:rsid w:val="00967016"/>
    <w:rsid w:val="009C105B"/>
    <w:rsid w:val="009C37F2"/>
    <w:rsid w:val="009D4834"/>
    <w:rsid w:val="00A11A5F"/>
    <w:rsid w:val="00A33FB0"/>
    <w:rsid w:val="00A37B59"/>
    <w:rsid w:val="00A620E5"/>
    <w:rsid w:val="00A66806"/>
    <w:rsid w:val="00A67294"/>
    <w:rsid w:val="00AE2B6D"/>
    <w:rsid w:val="00AE4481"/>
    <w:rsid w:val="00AF3A95"/>
    <w:rsid w:val="00AF6A6D"/>
    <w:rsid w:val="00B36059"/>
    <w:rsid w:val="00B8743B"/>
    <w:rsid w:val="00BB1CB9"/>
    <w:rsid w:val="00BD0F70"/>
    <w:rsid w:val="00C0491C"/>
    <w:rsid w:val="00C049AD"/>
    <w:rsid w:val="00C14B65"/>
    <w:rsid w:val="00C86042"/>
    <w:rsid w:val="00C93075"/>
    <w:rsid w:val="00CF4573"/>
    <w:rsid w:val="00D310CE"/>
    <w:rsid w:val="00D52103"/>
    <w:rsid w:val="00D76C06"/>
    <w:rsid w:val="00D91E73"/>
    <w:rsid w:val="00E03268"/>
    <w:rsid w:val="00E73577"/>
    <w:rsid w:val="00E9559B"/>
    <w:rsid w:val="00E964B4"/>
    <w:rsid w:val="00EB4F77"/>
    <w:rsid w:val="00ED7003"/>
    <w:rsid w:val="00EF29BC"/>
    <w:rsid w:val="00EF4D21"/>
    <w:rsid w:val="00EF71AC"/>
    <w:rsid w:val="00F429FF"/>
    <w:rsid w:val="00F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9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M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rsid w:val="00C049AD"/>
    <w:pPr>
      <w:widowControl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ar">
    <w:name w:val="1 Car"/>
    <w:basedOn w:val="Normal"/>
    <w:rsid w:val="00E964B4"/>
    <w:pPr>
      <w:widowControl/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071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545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45AF"/>
    <w:rPr>
      <w:rFonts w:ascii="Lucida Sans" w:eastAsia="Lucida Sans" w:hAnsi="Lucida Sans" w:cs="Lucida Sans"/>
    </w:rPr>
  </w:style>
  <w:style w:type="paragraph" w:styleId="Pieddepage">
    <w:name w:val="footer"/>
    <w:basedOn w:val="Normal"/>
    <w:link w:val="PieddepageCar"/>
    <w:uiPriority w:val="99"/>
    <w:unhideWhenUsed/>
    <w:rsid w:val="00F545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45AF"/>
    <w:rPr>
      <w:rFonts w:ascii="Lucida Sans" w:eastAsia="Lucida Sans" w:hAnsi="Lucida Sans"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313"/>
    <w:rPr>
      <w:rFonts w:ascii="Tahoma" w:eastAsia="Lucida Sans" w:hAnsi="Tahoma" w:cs="Tahoma"/>
      <w:sz w:val="16"/>
      <w:szCs w:val="16"/>
    </w:rPr>
  </w:style>
  <w:style w:type="paragraph" w:customStyle="1" w:styleId="Default">
    <w:name w:val="Default"/>
    <w:rsid w:val="00395FA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rsid w:val="00C049AD"/>
    <w:pPr>
      <w:widowControl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ar">
    <w:name w:val="1 Car"/>
    <w:basedOn w:val="Normal"/>
    <w:rsid w:val="00E964B4"/>
    <w:pPr>
      <w:widowControl/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071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545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45AF"/>
    <w:rPr>
      <w:rFonts w:ascii="Lucida Sans" w:eastAsia="Lucida Sans" w:hAnsi="Lucida Sans" w:cs="Lucida Sans"/>
    </w:rPr>
  </w:style>
  <w:style w:type="paragraph" w:styleId="Pieddepage">
    <w:name w:val="footer"/>
    <w:basedOn w:val="Normal"/>
    <w:link w:val="PieddepageCar"/>
    <w:uiPriority w:val="99"/>
    <w:unhideWhenUsed/>
    <w:rsid w:val="00F545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45AF"/>
    <w:rPr>
      <w:rFonts w:ascii="Lucida Sans" w:eastAsia="Lucida Sans" w:hAnsi="Lucida Sans"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313"/>
    <w:rPr>
      <w:rFonts w:ascii="Tahoma" w:eastAsia="Lucida Sans" w:hAnsi="Tahoma" w:cs="Tahoma"/>
      <w:sz w:val="16"/>
      <w:szCs w:val="16"/>
    </w:rPr>
  </w:style>
  <w:style w:type="paragraph" w:customStyle="1" w:styleId="Default">
    <w:name w:val="Default"/>
    <w:rsid w:val="00395FA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daps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Azeddine benali</dc:creator>
  <cp:lastModifiedBy>SANAA RADI</cp:lastModifiedBy>
  <cp:revision>2</cp:revision>
  <cp:lastPrinted>2016-12-21T16:54:00Z</cp:lastPrinted>
  <dcterms:created xsi:type="dcterms:W3CDTF">2021-06-21T08:26:00Z</dcterms:created>
  <dcterms:modified xsi:type="dcterms:W3CDTF">2021-06-21T08:26:00Z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2016-04-05T00:00:00Z</vt:filetime>
  </property>
</Properties>
</file>